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文星简大标宋" w:eastAsia="文星简大标宋"/>
          <w:sz w:val="84"/>
          <w:szCs w:val="84"/>
        </w:rPr>
      </w:pPr>
      <w:r>
        <w:rPr>
          <w:rFonts w:hint="eastAsia" w:ascii="文星简大标宋" w:eastAsia="文星简大标宋"/>
          <w:sz w:val="84"/>
          <w:szCs w:val="84"/>
        </w:rPr>
        <w:t>2020年度</w:t>
      </w:r>
    </w:p>
    <w:p>
      <w:pPr>
        <w:jc w:val="center"/>
        <w:rPr>
          <w:rFonts w:hint="eastAsia" w:ascii="文星简大标宋" w:eastAsia="文星简大标宋"/>
          <w:sz w:val="84"/>
          <w:szCs w:val="84"/>
        </w:rPr>
      </w:pPr>
      <w:r>
        <w:rPr>
          <w:rFonts w:hint="eastAsia" w:ascii="文星简大标宋" w:eastAsia="文星简大标宋"/>
          <w:sz w:val="84"/>
          <w:szCs w:val="84"/>
        </w:rPr>
        <w:t>青岛市标准化研究院</w:t>
      </w:r>
    </w:p>
    <w:p>
      <w:pPr>
        <w:jc w:val="center"/>
        <w:rPr>
          <w:rFonts w:hint="eastAsia" w:ascii="文星简大标宋" w:eastAsia="文星简大标宋"/>
          <w:sz w:val="84"/>
          <w:szCs w:val="84"/>
        </w:rPr>
      </w:pPr>
      <w:r>
        <w:rPr>
          <w:rFonts w:hint="eastAsia" w:ascii="文星简大标宋" w:eastAsia="文星简大标宋"/>
          <w:sz w:val="84"/>
          <w:szCs w:val="84"/>
        </w:rPr>
        <w:t>决算</w:t>
      </w:r>
    </w:p>
    <w:p>
      <w:pPr>
        <w:rPr>
          <w:rFonts w:hint="eastAsia"/>
        </w:rPr>
      </w:pPr>
    </w:p>
    <w:p>
      <w:pPr>
        <w:spacing w:line="580" w:lineRule="exact"/>
        <w:rPr>
          <w:rFonts w:hint="eastAsia"/>
        </w:rPr>
      </w:pPr>
    </w:p>
    <w:p>
      <w:pPr>
        <w:spacing w:after="305" w:afterLines="50" w:line="580" w:lineRule="exact"/>
        <w:jc w:val="center"/>
        <w:rPr>
          <w:rFonts w:hint="eastAsia" w:ascii="方正小标宋_GBK" w:eastAsia="方正小标宋_GBK"/>
          <w:sz w:val="44"/>
          <w:szCs w:val="44"/>
        </w:rPr>
      </w:pPr>
    </w:p>
    <w:p>
      <w:pPr>
        <w:spacing w:after="305" w:afterLines="50" w:line="580" w:lineRule="exact"/>
        <w:jc w:val="center"/>
        <w:rPr>
          <w:rFonts w:hint="eastAsia" w:ascii="方正小标宋_GBK" w:eastAsia="方正小标宋_GBK"/>
          <w:sz w:val="44"/>
          <w:szCs w:val="44"/>
        </w:rPr>
      </w:pPr>
    </w:p>
    <w:p>
      <w:pPr>
        <w:spacing w:after="305" w:afterLines="50" w:line="580" w:lineRule="exact"/>
        <w:jc w:val="center"/>
        <w:rPr>
          <w:rFonts w:hint="eastAsia" w:ascii="方正小标宋_GBK" w:eastAsia="方正小标宋_GBK"/>
          <w:sz w:val="44"/>
          <w:szCs w:val="44"/>
        </w:rPr>
      </w:pPr>
    </w:p>
    <w:p>
      <w:pPr>
        <w:spacing w:after="305" w:afterLines="50" w:line="580" w:lineRule="exact"/>
        <w:jc w:val="center"/>
        <w:rPr>
          <w:rFonts w:hint="eastAsia" w:ascii="方正小标宋_GBK" w:eastAsia="方正小标宋_GBK"/>
          <w:sz w:val="44"/>
          <w:szCs w:val="44"/>
        </w:rPr>
      </w:pPr>
    </w:p>
    <w:p>
      <w:pPr>
        <w:spacing w:after="305" w:afterLines="50" w:line="580" w:lineRule="exact"/>
        <w:jc w:val="center"/>
        <w:rPr>
          <w:rFonts w:hint="eastAsia" w:ascii="方正小标宋_GBK" w:eastAsia="方正小标宋_GBK"/>
          <w:sz w:val="44"/>
          <w:szCs w:val="44"/>
        </w:rPr>
      </w:pPr>
    </w:p>
    <w:p>
      <w:pPr>
        <w:spacing w:after="305" w:afterLines="50" w:line="580" w:lineRule="exact"/>
        <w:jc w:val="center"/>
        <w:rPr>
          <w:rFonts w:hint="eastAsia" w:ascii="方正小标宋_GBK" w:eastAsia="方正小标宋_GBK"/>
          <w:sz w:val="44"/>
          <w:szCs w:val="44"/>
        </w:rPr>
      </w:pPr>
    </w:p>
    <w:p>
      <w:pPr>
        <w:spacing w:after="305" w:afterLines="50" w:line="580" w:lineRule="exact"/>
        <w:jc w:val="center"/>
        <w:rPr>
          <w:rFonts w:hint="eastAsia" w:ascii="方正小标宋_GBK" w:eastAsia="方正小标宋_GBK"/>
          <w:sz w:val="44"/>
          <w:szCs w:val="44"/>
        </w:rPr>
      </w:pPr>
    </w:p>
    <w:p>
      <w:pPr>
        <w:spacing w:after="305" w:afterLines="50" w:line="580" w:lineRule="exact"/>
        <w:jc w:val="center"/>
        <w:rPr>
          <w:rFonts w:hint="eastAsia" w:ascii="方正小标宋_GBK" w:eastAsia="方正小标宋_GBK"/>
          <w:sz w:val="44"/>
          <w:szCs w:val="44"/>
        </w:rPr>
      </w:pPr>
      <w:r>
        <w:rPr>
          <w:rFonts w:hint="eastAsia" w:ascii="方正小标宋_GBK" w:eastAsia="方正小标宋_GBK"/>
          <w:sz w:val="44"/>
          <w:szCs w:val="44"/>
        </w:rPr>
        <w:t>目  录</w:t>
      </w:r>
    </w:p>
    <w:p>
      <w:pPr>
        <w:spacing w:line="580" w:lineRule="exact"/>
        <w:ind w:firstLine="316" w:firstLineChars="100"/>
        <w:rPr>
          <w:rFonts w:hint="eastAsia" w:ascii="黑体" w:hAnsi="黑体" w:eastAsia="黑体"/>
          <w:sz w:val="32"/>
        </w:rPr>
      </w:pPr>
      <w:r>
        <w:rPr>
          <w:rFonts w:hint="eastAsia" w:ascii="黑体" w:hAnsi="黑体" w:eastAsia="黑体"/>
          <w:sz w:val="32"/>
        </w:rPr>
        <w:t>第一部分  单位概况</w:t>
      </w:r>
    </w:p>
    <w:p>
      <w:pPr>
        <w:spacing w:line="580" w:lineRule="exact"/>
        <w:ind w:firstLine="632" w:firstLineChars="200"/>
        <w:rPr>
          <w:rFonts w:hint="eastAsia" w:ascii="仿宋_GB2312" w:eastAsia="仿宋_GB2312"/>
          <w:sz w:val="32"/>
        </w:rPr>
      </w:pPr>
      <w:r>
        <w:rPr>
          <w:rFonts w:hint="eastAsia" w:ascii="仿宋_GB2312" w:eastAsia="仿宋_GB2312"/>
          <w:sz w:val="32"/>
        </w:rPr>
        <w:t>一、单位职责</w:t>
      </w:r>
    </w:p>
    <w:p>
      <w:pPr>
        <w:spacing w:line="580" w:lineRule="exact"/>
        <w:ind w:firstLine="632" w:firstLineChars="200"/>
        <w:rPr>
          <w:rFonts w:hint="eastAsia" w:ascii="仿宋_GB2312" w:eastAsia="仿宋_GB2312"/>
          <w:sz w:val="32"/>
        </w:rPr>
      </w:pPr>
      <w:r>
        <w:rPr>
          <w:rFonts w:hint="eastAsia" w:ascii="仿宋_GB2312" w:eastAsia="仿宋_GB2312"/>
          <w:sz w:val="32"/>
        </w:rPr>
        <w:t>二、机构设置</w:t>
      </w:r>
    </w:p>
    <w:p>
      <w:pPr>
        <w:spacing w:line="580" w:lineRule="exact"/>
        <w:ind w:firstLine="316" w:firstLineChars="100"/>
        <w:rPr>
          <w:rFonts w:hint="eastAsia" w:ascii="黑体" w:hAnsi="黑体" w:eastAsia="黑体"/>
          <w:sz w:val="32"/>
        </w:rPr>
      </w:pPr>
      <w:r>
        <w:rPr>
          <w:rFonts w:hint="eastAsia" w:ascii="黑体" w:hAnsi="黑体" w:eastAsia="黑体"/>
          <w:sz w:val="32"/>
        </w:rPr>
        <w:t>第二部分  2020年度单位决算表</w:t>
      </w:r>
    </w:p>
    <w:p>
      <w:pPr>
        <w:spacing w:line="580" w:lineRule="exact"/>
        <w:ind w:left="640"/>
        <w:rPr>
          <w:rFonts w:hint="eastAsia" w:ascii="仿宋_GB2312" w:eastAsia="仿宋_GB2312"/>
          <w:sz w:val="32"/>
          <w:szCs w:val="32"/>
        </w:rPr>
      </w:pPr>
      <w:r>
        <w:rPr>
          <w:rFonts w:hint="eastAsia" w:ascii="仿宋_GB2312" w:eastAsia="仿宋_GB2312"/>
          <w:sz w:val="32"/>
          <w:szCs w:val="32"/>
        </w:rPr>
        <w:t>一、收入支出决算总表</w:t>
      </w:r>
    </w:p>
    <w:p>
      <w:pPr>
        <w:spacing w:line="580" w:lineRule="exact"/>
        <w:ind w:left="640"/>
        <w:rPr>
          <w:rFonts w:hint="eastAsia" w:ascii="仿宋_GB2312" w:eastAsia="仿宋_GB2312"/>
          <w:sz w:val="32"/>
          <w:szCs w:val="32"/>
        </w:rPr>
      </w:pPr>
      <w:r>
        <w:rPr>
          <w:rFonts w:hint="eastAsia" w:ascii="仿宋_GB2312" w:eastAsia="仿宋_GB2312"/>
          <w:sz w:val="32"/>
          <w:szCs w:val="32"/>
        </w:rPr>
        <w:t>二、收入决算表</w:t>
      </w:r>
    </w:p>
    <w:p>
      <w:pPr>
        <w:spacing w:line="580" w:lineRule="exact"/>
        <w:ind w:left="640"/>
        <w:rPr>
          <w:rFonts w:hint="eastAsia" w:ascii="仿宋_GB2312" w:eastAsia="仿宋_GB2312"/>
          <w:sz w:val="32"/>
          <w:szCs w:val="32"/>
        </w:rPr>
      </w:pPr>
      <w:r>
        <w:rPr>
          <w:rFonts w:hint="eastAsia" w:ascii="仿宋_GB2312" w:eastAsia="仿宋_GB2312"/>
          <w:sz w:val="32"/>
          <w:szCs w:val="32"/>
        </w:rPr>
        <w:t>三、支出决算表</w:t>
      </w:r>
    </w:p>
    <w:p>
      <w:pPr>
        <w:spacing w:line="580" w:lineRule="exact"/>
        <w:ind w:left="640"/>
        <w:rPr>
          <w:rFonts w:hint="eastAsia" w:ascii="仿宋_GB2312" w:eastAsia="仿宋_GB2312"/>
          <w:sz w:val="32"/>
          <w:szCs w:val="32"/>
        </w:rPr>
      </w:pPr>
      <w:r>
        <w:rPr>
          <w:rFonts w:hint="eastAsia" w:ascii="仿宋_GB2312" w:eastAsia="仿宋_GB2312"/>
          <w:sz w:val="32"/>
          <w:szCs w:val="32"/>
        </w:rPr>
        <w:t>四、财政拨款收入支出决算总表</w:t>
      </w:r>
    </w:p>
    <w:p>
      <w:pPr>
        <w:spacing w:line="580" w:lineRule="exact"/>
        <w:ind w:left="640"/>
        <w:rPr>
          <w:rFonts w:hint="eastAsia" w:ascii="仿宋_GB2312" w:eastAsia="仿宋_GB2312"/>
          <w:sz w:val="32"/>
          <w:szCs w:val="32"/>
        </w:rPr>
      </w:pPr>
      <w:r>
        <w:rPr>
          <w:rFonts w:hint="eastAsia" w:ascii="仿宋_GB2312" w:eastAsia="仿宋_GB2312"/>
          <w:sz w:val="32"/>
          <w:szCs w:val="32"/>
        </w:rPr>
        <w:t>五、一般公共预算财政拨款支出决算表</w:t>
      </w:r>
    </w:p>
    <w:p>
      <w:pPr>
        <w:spacing w:line="580" w:lineRule="exact"/>
        <w:ind w:left="640"/>
        <w:rPr>
          <w:rFonts w:hint="eastAsia" w:ascii="仿宋_GB2312" w:eastAsia="仿宋_GB2312"/>
          <w:sz w:val="32"/>
          <w:szCs w:val="32"/>
        </w:rPr>
      </w:pPr>
      <w:r>
        <w:rPr>
          <w:rFonts w:hint="eastAsia" w:ascii="仿宋_GB2312" w:eastAsia="仿宋_GB2312"/>
          <w:sz w:val="32"/>
          <w:szCs w:val="32"/>
        </w:rPr>
        <w:t>六、一般公共预算财政拨款基本支出决算表</w:t>
      </w:r>
    </w:p>
    <w:p>
      <w:pPr>
        <w:spacing w:line="580" w:lineRule="exact"/>
        <w:ind w:left="64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80" w:lineRule="exact"/>
        <w:ind w:left="640"/>
        <w:rPr>
          <w:rFonts w:hint="eastAsia" w:ascii="仿宋_GB2312" w:eastAsia="仿宋_GB2312"/>
          <w:sz w:val="32"/>
          <w:szCs w:val="32"/>
        </w:rPr>
      </w:pPr>
      <w:r>
        <w:rPr>
          <w:rFonts w:hint="eastAsia" w:ascii="仿宋_GB2312" w:eastAsia="仿宋_GB2312"/>
          <w:sz w:val="32"/>
          <w:szCs w:val="32"/>
        </w:rPr>
        <w:t>八、政府性基金预算财政拨款收入支出决算表</w:t>
      </w:r>
    </w:p>
    <w:p>
      <w:pPr>
        <w:spacing w:line="580" w:lineRule="exact"/>
        <w:ind w:left="640"/>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spacing w:line="580" w:lineRule="exact"/>
        <w:ind w:firstLine="316" w:firstLineChars="100"/>
        <w:rPr>
          <w:rFonts w:hint="eastAsia" w:ascii="黑体" w:hAnsi="黑体" w:eastAsia="黑体"/>
          <w:sz w:val="32"/>
        </w:rPr>
      </w:pPr>
      <w:r>
        <w:rPr>
          <w:rFonts w:hint="eastAsia" w:ascii="黑体" w:hAnsi="黑体" w:eastAsia="黑体"/>
          <w:sz w:val="32"/>
        </w:rPr>
        <w:t>第三部分  2020年度单位决算情况说明</w:t>
      </w:r>
    </w:p>
    <w:p>
      <w:pPr>
        <w:spacing w:line="580" w:lineRule="exact"/>
        <w:ind w:firstLine="316" w:firstLineChars="100"/>
        <w:rPr>
          <w:rFonts w:hint="eastAsia" w:ascii="黑体" w:hAnsi="黑体" w:eastAsia="黑体"/>
          <w:sz w:val="32"/>
        </w:rPr>
      </w:pPr>
      <w:r>
        <w:rPr>
          <w:rFonts w:hint="eastAsia" w:ascii="黑体" w:hAnsi="黑体" w:eastAsia="黑体"/>
          <w:sz w:val="32"/>
        </w:rPr>
        <w:t>第四部分  名词解释</w:t>
      </w:r>
    </w:p>
    <w:p>
      <w:pPr>
        <w:rPr>
          <w:rFonts w:hint="eastAsia" w:ascii="黑体" w:eastAsia="黑体"/>
          <w:sz w:val="36"/>
          <w:szCs w:val="36"/>
        </w:rPr>
      </w:pPr>
    </w:p>
    <w:p>
      <w:pPr>
        <w:rPr>
          <w:rFonts w:hint="eastAsia" w:ascii="黑体" w:eastAsia="黑体"/>
          <w:sz w:val="52"/>
          <w:szCs w:val="52"/>
        </w:rPr>
      </w:pPr>
    </w:p>
    <w:p>
      <w:pPr>
        <w:rPr>
          <w:rFonts w:hint="eastAsia" w:ascii="黑体" w:eastAsia="黑体"/>
          <w:sz w:val="52"/>
          <w:szCs w:val="52"/>
        </w:rPr>
      </w:pPr>
    </w:p>
    <w:p>
      <w:pPr>
        <w:rPr>
          <w:rFonts w:hint="eastAsia" w:ascii="黑体" w:eastAsia="黑体"/>
          <w:sz w:val="52"/>
          <w:szCs w:val="52"/>
        </w:rPr>
      </w:pPr>
      <w:r>
        <w:rPr>
          <w:rFonts w:hint="eastAsia" w:ascii="黑体" w:eastAsia="黑体"/>
          <w:sz w:val="52"/>
          <w:szCs w:val="52"/>
        </w:rPr>
        <w:t xml:space="preserve">  第一部分 </w:t>
      </w:r>
    </w:p>
    <w:p>
      <w:pP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单位概况</w:t>
      </w:r>
    </w:p>
    <w:p>
      <w:pPr>
        <w:rPr>
          <w:rFonts w:hint="eastAsia" w:ascii="黑体" w:eastAsia="黑体"/>
          <w:b/>
          <w:sz w:val="36"/>
          <w:szCs w:val="36"/>
        </w:rPr>
      </w:pPr>
    </w:p>
    <w:p>
      <w:pPr>
        <w:jc w:val="center"/>
        <w:rPr>
          <w:rFonts w:hint="eastAsia" w:ascii="仿宋_GB2312" w:eastAsia="仿宋_GB2312"/>
          <w:sz w:val="32"/>
        </w:rPr>
        <w:sectPr>
          <w:headerReference r:id="rId5" w:type="default"/>
          <w:footerReference r:id="rId6" w:type="default"/>
          <w:footerReference r:id="rId7" w:type="even"/>
          <w:pgSz w:w="11906" w:h="16838"/>
          <w:pgMar w:top="1701" w:right="1531" w:bottom="1701" w:left="1531" w:header="0" w:footer="1418" w:gutter="0"/>
          <w:cols w:space="720" w:num="1"/>
          <w:docGrid w:type="linesAndChars" w:linePitch="610" w:charSpace="-849"/>
        </w:sectPr>
      </w:pPr>
    </w:p>
    <w:p>
      <w:pPr>
        <w:spacing w:line="580" w:lineRule="exact"/>
        <w:ind w:firstLine="632" w:firstLineChars="200"/>
        <w:rPr>
          <w:rFonts w:hint="eastAsia" w:ascii="黑体" w:hAnsi="黑体" w:eastAsia="黑体"/>
          <w:sz w:val="32"/>
        </w:rPr>
      </w:pPr>
      <w:r>
        <w:rPr>
          <w:rFonts w:hint="eastAsia" w:ascii="黑体" w:hAnsi="黑体" w:eastAsia="黑体"/>
          <w:sz w:val="32"/>
        </w:rPr>
        <w:t>一、单位职责</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社会提供标准化技术支撑和咨询服务。参与拟订标准化研究领域的政策、规划等。开展标准化、信息化、质量信用、编码技术、条码、技术性贸易措施（TBT）等相关研究与服务工作。承担标准信息资源的建设和普及推广工作。承担标准化国际交流与合作、国外及国际标准分析研究与应用、标准国际化人才培训及咨询服务工作。承担标准制修订及标准体系建设工作。承担标准化技术组织的相关工作。负责商品条码质量检验。负责统一社会信用代码数据库管理维护与应用。承担国家技术标准创新基地和国际标准化培训基地（青岛）的建设运行等工作。</w:t>
      </w:r>
    </w:p>
    <w:p>
      <w:pPr>
        <w:spacing w:line="580" w:lineRule="exact"/>
        <w:ind w:firstLine="632" w:firstLineChars="200"/>
        <w:rPr>
          <w:rFonts w:hint="eastAsia" w:ascii="黑体" w:hAnsi="黑体" w:eastAsia="黑体"/>
          <w:sz w:val="32"/>
        </w:rPr>
      </w:pPr>
      <w:r>
        <w:rPr>
          <w:rFonts w:hint="eastAsia" w:ascii="黑体" w:hAnsi="黑体" w:eastAsia="黑体"/>
          <w:sz w:val="32"/>
        </w:rPr>
        <w:t>二、机构设置</w:t>
      </w:r>
    </w:p>
    <w:p>
      <w:pPr>
        <w:spacing w:line="580" w:lineRule="exact"/>
        <w:ind w:firstLine="645"/>
        <w:rPr>
          <w:rFonts w:hint="eastAsia" w:ascii="仿宋_GB2312" w:hAnsi="宋体" w:eastAsia="仿宋_GB2312" w:cs="Courier New"/>
          <w:sz w:val="32"/>
          <w:szCs w:val="32"/>
        </w:rPr>
      </w:pPr>
      <w:r>
        <w:rPr>
          <w:rFonts w:hint="eastAsia" w:ascii="仿宋_GB2312" w:hAnsi="仿宋_GB2312" w:eastAsia="仿宋_GB2312" w:cs="仿宋_GB2312"/>
          <w:sz w:val="32"/>
          <w:szCs w:val="32"/>
        </w:rPr>
        <w:t>青岛市标准化研究院</w:t>
      </w:r>
      <w:r>
        <w:rPr>
          <w:rFonts w:hint="eastAsia" w:ascii="仿宋_GB2312" w:hAnsi="宋体" w:eastAsia="仿宋_GB2312" w:cs="Courier New"/>
          <w:sz w:val="32"/>
          <w:szCs w:val="32"/>
        </w:rPr>
        <w:t>内设机构共1</w:t>
      </w:r>
      <w:r>
        <w:rPr>
          <w:rFonts w:ascii="仿宋_GB2312" w:hAnsi="宋体" w:eastAsia="仿宋_GB2312" w:cs="Courier New"/>
          <w:sz w:val="32"/>
          <w:szCs w:val="32"/>
        </w:rPr>
        <w:t>1</w:t>
      </w:r>
      <w:r>
        <w:rPr>
          <w:rFonts w:hint="eastAsia" w:ascii="仿宋_GB2312" w:hAnsi="宋体" w:eastAsia="仿宋_GB2312" w:cs="Courier New"/>
          <w:sz w:val="32"/>
          <w:szCs w:val="32"/>
        </w:rPr>
        <w:t>个，分别为：</w:t>
      </w:r>
      <w:r>
        <w:rPr>
          <w:rFonts w:hint="eastAsia" w:ascii="仿宋" w:hAnsi="仿宋" w:eastAsia="仿宋"/>
          <w:sz w:val="32"/>
          <w:szCs w:val="32"/>
        </w:rPr>
        <w:t xml:space="preserve">办公室、财务室、信息管理中心、事业发展部、物品编码中心、标准研究中心、标准服务中心、代码数据服务中心、标准国际化研究中心秘书处、军民融合研究中心、标准文献馆。 </w:t>
      </w:r>
    </w:p>
    <w:p>
      <w:pPr>
        <w:rPr>
          <w:rFonts w:hint="eastAsia" w:ascii="方正小标宋简体" w:eastAsia="方正小标宋简体"/>
          <w:sz w:val="42"/>
        </w:rPr>
      </w:pPr>
    </w:p>
    <w:p>
      <w:pPr>
        <w:rPr>
          <w:rFonts w:hint="eastAsia" w:ascii="黑体" w:eastAsia="黑体"/>
          <w:sz w:val="52"/>
          <w:szCs w:val="52"/>
        </w:rPr>
      </w:pPr>
    </w:p>
    <w:p>
      <w:pPr>
        <w:rPr>
          <w:rFonts w:hint="eastAsia" w:ascii="黑体" w:eastAsia="黑体"/>
          <w:sz w:val="52"/>
          <w:szCs w:val="52"/>
        </w:rPr>
      </w:pPr>
    </w:p>
    <w:p>
      <w:pPr>
        <w:rPr>
          <w:rFonts w:hint="eastAsia" w:ascii="黑体" w:eastAsia="黑体"/>
          <w:sz w:val="52"/>
          <w:szCs w:val="52"/>
        </w:rPr>
      </w:pPr>
    </w:p>
    <w:p>
      <w:pPr>
        <w:rPr>
          <w:rFonts w:hint="eastAsia" w:ascii="黑体" w:eastAsia="黑体"/>
          <w:sz w:val="52"/>
          <w:szCs w:val="52"/>
        </w:rPr>
      </w:pPr>
    </w:p>
    <w:p>
      <w:pPr>
        <w:rPr>
          <w:rFonts w:hint="eastAsia" w:ascii="黑体" w:eastAsia="黑体"/>
          <w:sz w:val="52"/>
          <w:szCs w:val="52"/>
        </w:rPr>
      </w:pPr>
      <w:r>
        <w:rPr>
          <w:rFonts w:hint="eastAsia" w:ascii="黑体" w:eastAsia="黑体"/>
          <w:sz w:val="52"/>
          <w:szCs w:val="52"/>
        </w:rPr>
        <w:t>第二部分</w:t>
      </w:r>
    </w:p>
    <w:p>
      <w:pP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2020年度单位决算表</w:t>
      </w:r>
    </w:p>
    <w:p>
      <w:pPr>
        <w:spacing w:line="520" w:lineRule="exact"/>
        <w:rPr>
          <w:rFonts w:hint="eastAsia" w:ascii="仿宋_GB2312" w:eastAsia="仿宋_GB2312"/>
          <w:b/>
          <w:sz w:val="28"/>
          <w:szCs w:val="28"/>
          <w:highlight w:val="yellow"/>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hint="eastAsia" w:ascii="仿宋_GB2312" w:eastAsia="仿宋_GB2312"/>
          <w:b/>
          <w:sz w:val="28"/>
          <w:szCs w:val="28"/>
        </w:rPr>
      </w:pPr>
    </w:p>
    <w:p>
      <w:pPr>
        <w:jc w:val="center"/>
        <w:rPr>
          <w:rFonts w:hint="eastAsia" w:ascii="仿宋_GB2312" w:eastAsia="仿宋_GB2312"/>
          <w:b/>
          <w:sz w:val="28"/>
          <w:szCs w:val="28"/>
        </w:rPr>
      </w:pPr>
    </w:p>
    <w:p>
      <w:pPr>
        <w:ind w:firstLine="3052" w:firstLineChars="700"/>
        <w:jc w:val="both"/>
        <w:rPr>
          <w:rFonts w:hint="eastAsia"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ind w:right="276"/>
        <w:jc w:val="right"/>
        <w:rPr>
          <w:rFonts w:hint="eastAsia" w:ascii="楷体_GB2312" w:eastAsia="楷体_GB2312"/>
          <w:sz w:val="28"/>
          <w:szCs w:val="28"/>
        </w:rPr>
      </w:pPr>
      <w:r>
        <w:rPr>
          <w:rFonts w:hint="eastAsia" w:ascii="楷体_GB2312" w:eastAsia="楷体_GB2312"/>
          <w:sz w:val="28"/>
          <w:szCs w:val="28"/>
        </w:rPr>
        <w:t>公开01表</w:t>
      </w:r>
    </w:p>
    <w:p>
      <w:pPr>
        <w:wordWrap w:val="0"/>
        <w:spacing w:line="400" w:lineRule="exact"/>
        <w:ind w:right="276" w:firstLine="138" w:firstLineChars="50"/>
        <w:jc w:val="right"/>
        <w:rPr>
          <w:rFonts w:hint="eastAsia" w:ascii="楷体_GB2312" w:eastAsia="楷体_GB2312"/>
          <w:sz w:val="28"/>
          <w:szCs w:val="28"/>
        </w:rPr>
      </w:pPr>
      <w:r>
        <w:rPr>
          <w:rFonts w:hint="eastAsia" w:ascii="楷体_GB2312" w:eastAsia="楷体_GB2312"/>
          <w:sz w:val="28"/>
          <w:szCs w:val="28"/>
        </w:rPr>
        <w:t xml:space="preserve">单位：青岛市标准化研究院                     </w:t>
      </w:r>
      <w:r>
        <w:rPr>
          <w:rFonts w:ascii="楷体_GB2312" w:eastAsia="楷体_GB2312"/>
          <w:sz w:val="28"/>
          <w:szCs w:val="28"/>
        </w:rPr>
        <w:t xml:space="preserve"> </w:t>
      </w:r>
      <w:r>
        <w:rPr>
          <w:rFonts w:hint="eastAsia" w:ascii="楷体_GB2312" w:eastAsia="楷体_GB2312"/>
          <w:sz w:val="28"/>
          <w:szCs w:val="28"/>
        </w:rPr>
        <w:t>金额单位：万元</w:t>
      </w:r>
    </w:p>
    <w:tbl>
      <w:tblPr>
        <w:tblStyle w:val="11"/>
        <w:tblW w:w="0" w:type="auto"/>
        <w:tblInd w:w="0" w:type="dxa"/>
        <w:tblLayout w:type="fixed"/>
        <w:tblCellMar>
          <w:top w:w="0" w:type="dxa"/>
          <w:left w:w="108" w:type="dxa"/>
          <w:bottom w:w="0" w:type="dxa"/>
          <w:right w:w="108" w:type="dxa"/>
        </w:tblCellMar>
      </w:tblPr>
      <w:tblGrid>
        <w:gridCol w:w="3045"/>
        <w:gridCol w:w="667"/>
        <w:gridCol w:w="1022"/>
        <w:gridCol w:w="2502"/>
        <w:gridCol w:w="517"/>
        <w:gridCol w:w="1302"/>
      </w:tblGrid>
      <w:tr>
        <w:tblPrEx>
          <w:tblCellMar>
            <w:top w:w="0" w:type="dxa"/>
            <w:left w:w="108" w:type="dxa"/>
            <w:bottom w:w="0" w:type="dxa"/>
            <w:right w:w="108" w:type="dxa"/>
          </w:tblCellMar>
        </w:tblPrEx>
        <w:trPr>
          <w:trHeight w:val="329" w:hRule="exact"/>
        </w:trPr>
        <w:tc>
          <w:tcPr>
            <w:tcW w:w="473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收 入</w:t>
            </w:r>
          </w:p>
        </w:tc>
        <w:tc>
          <w:tcPr>
            <w:tcW w:w="4321"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支 出</w:t>
            </w:r>
          </w:p>
        </w:tc>
      </w:tr>
      <w:tr>
        <w:tblPrEx>
          <w:tblCellMar>
            <w:top w:w="0" w:type="dxa"/>
            <w:left w:w="108" w:type="dxa"/>
            <w:bottom w:w="0" w:type="dxa"/>
            <w:right w:w="108" w:type="dxa"/>
          </w:tblCellMar>
        </w:tblPrEx>
        <w:trPr>
          <w:trHeight w:val="37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项  目</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行次</w:t>
            </w:r>
          </w:p>
        </w:tc>
        <w:tc>
          <w:tcPr>
            <w:tcW w:w="102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决算数</w:t>
            </w:r>
          </w:p>
        </w:tc>
        <w:tc>
          <w:tcPr>
            <w:tcW w:w="25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项  目</w:t>
            </w:r>
          </w:p>
        </w:tc>
        <w:tc>
          <w:tcPr>
            <w:tcW w:w="517"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行次</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决算数</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栏  次</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2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w:t>
            </w:r>
          </w:p>
        </w:tc>
        <w:tc>
          <w:tcPr>
            <w:tcW w:w="25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栏  次</w:t>
            </w:r>
          </w:p>
        </w:tc>
        <w:tc>
          <w:tcPr>
            <w:tcW w:w="5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2</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一、一般公共预算财政拨款收入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r>
              <w:rPr>
                <w:rFonts w:hint="eastAsia" w:ascii="仿宋_GB2312" w:eastAsia="仿宋_GB2312"/>
                <w:sz w:val="18"/>
                <w:szCs w:val="18"/>
              </w:rPr>
              <w:t>748.21</w:t>
            </w: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一、一般公共服务支出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1,136.39</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二、政府性基金预算财政拨款收入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二、外交支出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34"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三、国有资本经营预算财政拨款收入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3</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三、国防支出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02"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四、上级补助收入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4</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r>
              <w:rPr>
                <w:rFonts w:hint="eastAsia" w:ascii="仿宋_GB2312" w:eastAsia="仿宋_GB2312"/>
                <w:sz w:val="18"/>
                <w:szCs w:val="18"/>
              </w:rPr>
              <w:t>250.60</w:t>
            </w: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四、公共安全支出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五、事业收入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5</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五、教育支出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六、经营收入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6</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r>
              <w:rPr>
                <w:rFonts w:hint="eastAsia" w:ascii="仿宋_GB2312" w:eastAsia="仿宋_GB2312"/>
                <w:sz w:val="18"/>
                <w:szCs w:val="18"/>
              </w:rPr>
              <w:t>294.86</w:t>
            </w: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六、科学技术支出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七、附属单位上缴收入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7</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七、文化旅游体育与传媒支出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八、其他收入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8</w:t>
            </w:r>
          </w:p>
        </w:tc>
        <w:tc>
          <w:tcPr>
            <w:tcW w:w="1022"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r>
              <w:rPr>
                <w:rFonts w:hint="eastAsia" w:ascii="仿宋_GB2312" w:eastAsia="仿宋_GB2312"/>
                <w:sz w:val="18"/>
                <w:szCs w:val="18"/>
              </w:rPr>
              <w:t>6.07</w:t>
            </w: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八、社会保障和就业支出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63.18</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9</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九、卫生健康支出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10</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十、节能环保支出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11</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十一、城乡社区支出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12</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十二、农林水支出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13</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十三、交通运输支出</w:t>
            </w:r>
          </w:p>
        </w:tc>
        <w:tc>
          <w:tcPr>
            <w:tcW w:w="517"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14</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十四、资源勘探工业信息等支出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15</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十五、商业服务业等支出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16</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十六、金融支出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17</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十七、援助其他地区支出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18</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十八、自然资源海洋气象等支出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19</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十九、住房保障支出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31.68</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20</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二十、粮油物资储备支出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21</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二十一、国有资本经营预算支出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22</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二十二、灾害防治及应急管理支出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23</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二十三、其他支出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24</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二十四、债务还本支出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二十五、债务付息支出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二十六、抗疫特别国债安排的支出</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56</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18"/>
                <w:szCs w:val="18"/>
              </w:rPr>
            </w:pPr>
            <w:r>
              <w:rPr>
                <w:rFonts w:hint="eastAsia" w:ascii="仿宋_GB2312" w:eastAsia="仿宋_GB2312"/>
                <w:b/>
                <w:bCs/>
                <w:sz w:val="18"/>
                <w:szCs w:val="18"/>
              </w:rPr>
              <w:t>本年收入合计</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18"/>
                <w:szCs w:val="18"/>
              </w:rPr>
            </w:pPr>
            <w:r>
              <w:rPr>
                <w:rFonts w:hint="eastAsia" w:ascii="仿宋_GB2312" w:eastAsia="仿宋_GB2312"/>
                <w:sz w:val="18"/>
                <w:szCs w:val="18"/>
              </w:rPr>
              <w:t>27</w:t>
            </w:r>
          </w:p>
        </w:tc>
        <w:tc>
          <w:tcPr>
            <w:tcW w:w="102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1,299.74</w:t>
            </w:r>
          </w:p>
        </w:tc>
        <w:tc>
          <w:tcPr>
            <w:tcW w:w="25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b/>
                <w:bCs/>
                <w:sz w:val="18"/>
                <w:szCs w:val="18"/>
              </w:rPr>
            </w:pPr>
            <w:r>
              <w:rPr>
                <w:rFonts w:hint="eastAsia" w:ascii="仿宋_GB2312" w:eastAsia="仿宋_GB2312"/>
                <w:b/>
                <w:bCs/>
                <w:sz w:val="18"/>
                <w:szCs w:val="18"/>
              </w:rPr>
              <w:t>本年支出合计</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1,231.25</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使用非财政拨款结余</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2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2502" w:type="dxa"/>
            <w:tcBorders>
              <w:top w:val="nil"/>
              <w:left w:val="nil"/>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结余分配</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6.07</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年初结转和结余</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2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163.24</w:t>
            </w:r>
          </w:p>
        </w:tc>
        <w:tc>
          <w:tcPr>
            <w:tcW w:w="2502"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年末结转和结余</w:t>
            </w:r>
          </w:p>
        </w:tc>
        <w:tc>
          <w:tcPr>
            <w:tcW w:w="5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59</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225.65</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b/>
                <w:bCs/>
                <w:sz w:val="18"/>
                <w:szCs w:val="18"/>
              </w:rPr>
              <w:t>总计</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02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1,462.98</w:t>
            </w:r>
          </w:p>
        </w:tc>
        <w:tc>
          <w:tcPr>
            <w:tcW w:w="25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总计</w:t>
            </w:r>
          </w:p>
        </w:tc>
        <w:tc>
          <w:tcPr>
            <w:tcW w:w="5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60</w:t>
            </w:r>
          </w:p>
        </w:tc>
        <w:tc>
          <w:tcPr>
            <w:tcW w:w="13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1,462.98</w:t>
            </w:r>
          </w:p>
        </w:tc>
      </w:tr>
    </w:tbl>
    <w:p>
      <w:pPr>
        <w:ind w:firstLine="88" w:firstLineChars="50"/>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r>
        <w:rPr>
          <w:rFonts w:hint="eastAsia" w:ascii="仿宋_GB2312" w:hAnsi="宋体" w:eastAsia="仿宋_GB2312"/>
          <w:sz w:val="18"/>
          <w:szCs w:val="18"/>
        </w:rPr>
        <w:t>注：1.本表反映单位本年度的总收支和年末结转结余情况。2.本套报表金额单位转换时可能存在尾数误差。</w:t>
      </w:r>
    </w:p>
    <w:p>
      <w:pPr>
        <w:jc w:val="center"/>
        <w:rPr>
          <w:rFonts w:hint="eastAsia"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ind w:right="276"/>
        <w:jc w:val="right"/>
        <w:rPr>
          <w:rFonts w:ascii="楷体_GB2312" w:eastAsia="楷体_GB2312"/>
          <w:sz w:val="28"/>
          <w:szCs w:val="28"/>
        </w:rPr>
      </w:pPr>
      <w:r>
        <w:rPr>
          <w:rFonts w:hint="eastAsia" w:ascii="楷体_GB2312" w:eastAsia="楷体_GB2312"/>
          <w:sz w:val="28"/>
          <w:szCs w:val="28"/>
        </w:rPr>
        <w:t xml:space="preserve"> 公开02表</w:t>
      </w:r>
    </w:p>
    <w:tbl>
      <w:tblPr>
        <w:tblStyle w:val="11"/>
        <w:tblpPr w:leftFromText="180" w:rightFromText="180" w:vertAnchor="text" w:horzAnchor="margin" w:tblpY="510"/>
        <w:tblW w:w="14000" w:type="dxa"/>
        <w:tblInd w:w="0" w:type="dxa"/>
        <w:tblLayout w:type="fixed"/>
        <w:tblCellMar>
          <w:top w:w="0" w:type="dxa"/>
          <w:left w:w="108" w:type="dxa"/>
          <w:bottom w:w="0" w:type="dxa"/>
          <w:right w:w="108" w:type="dxa"/>
        </w:tblCellMar>
      </w:tblPr>
      <w:tblGrid>
        <w:gridCol w:w="1384"/>
        <w:gridCol w:w="2835"/>
        <w:gridCol w:w="1559"/>
        <w:gridCol w:w="1560"/>
        <w:gridCol w:w="1559"/>
        <w:gridCol w:w="1417"/>
        <w:gridCol w:w="1276"/>
        <w:gridCol w:w="1276"/>
        <w:gridCol w:w="1134"/>
      </w:tblGrid>
      <w:tr>
        <w:tblPrEx>
          <w:tblCellMar>
            <w:top w:w="0" w:type="dxa"/>
            <w:left w:w="108" w:type="dxa"/>
            <w:bottom w:w="0" w:type="dxa"/>
            <w:right w:w="108" w:type="dxa"/>
          </w:tblCellMar>
        </w:tblPrEx>
        <w:trPr>
          <w:trHeight w:val="458" w:hRule="atLeast"/>
        </w:trPr>
        <w:tc>
          <w:tcPr>
            <w:tcW w:w="421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55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本年收入合计</w:t>
            </w:r>
          </w:p>
        </w:tc>
        <w:tc>
          <w:tcPr>
            <w:tcW w:w="156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财政拨款收入</w:t>
            </w:r>
          </w:p>
        </w:tc>
        <w:tc>
          <w:tcPr>
            <w:tcW w:w="155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上级补助收入</w:t>
            </w:r>
          </w:p>
        </w:tc>
        <w:tc>
          <w:tcPr>
            <w:tcW w:w="1417"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事业收入</w:t>
            </w:r>
          </w:p>
        </w:tc>
        <w:tc>
          <w:tcPr>
            <w:tcW w:w="127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经营收入</w:t>
            </w:r>
          </w:p>
        </w:tc>
        <w:tc>
          <w:tcPr>
            <w:tcW w:w="1276"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附属单位    </w:t>
            </w:r>
          </w:p>
          <w:p>
            <w:pPr>
              <w:widowControl/>
              <w:spacing w:line="300" w:lineRule="exact"/>
              <w:ind w:left="648" w:hanging="648" w:hangingChars="300"/>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上缴收入</w:t>
            </w:r>
          </w:p>
        </w:tc>
        <w:tc>
          <w:tcPr>
            <w:tcW w:w="113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其他收入</w:t>
            </w:r>
          </w:p>
        </w:tc>
      </w:tr>
      <w:tr>
        <w:tblPrEx>
          <w:tblCellMar>
            <w:top w:w="0" w:type="dxa"/>
            <w:left w:w="108" w:type="dxa"/>
            <w:bottom w:w="0" w:type="dxa"/>
            <w:right w:w="108" w:type="dxa"/>
          </w:tblCellMar>
        </w:tblPrEx>
        <w:trPr>
          <w:trHeight w:val="457"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559" w:type="dxa"/>
            <w:vMerge w:val="continue"/>
            <w:tcBorders>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560" w:type="dxa"/>
            <w:vMerge w:val="continue"/>
            <w:tcBorders>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559" w:type="dxa"/>
            <w:vMerge w:val="continue"/>
            <w:tcBorders>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417" w:type="dxa"/>
            <w:vMerge w:val="continue"/>
            <w:tcBorders>
              <w:left w:val="single" w:color="auto" w:sz="4" w:space="0"/>
              <w:right w:val="single" w:color="auto" w:sz="4" w:space="0"/>
            </w:tcBorders>
            <w:vAlign w:val="center"/>
          </w:tcPr>
          <w:p>
            <w:pPr>
              <w:widowControl/>
              <w:spacing w:line="300" w:lineRule="exact"/>
              <w:ind w:firstLine="216" w:firstLineChars="100"/>
              <w:rPr>
                <w:rFonts w:hint="eastAsia" w:ascii="仿宋_GB2312" w:hAnsi="宋体" w:eastAsia="仿宋_GB2312" w:cs="宋体"/>
                <w:kern w:val="0"/>
                <w:sz w:val="22"/>
                <w:szCs w:val="22"/>
              </w:rPr>
            </w:pPr>
          </w:p>
        </w:tc>
        <w:tc>
          <w:tcPr>
            <w:tcW w:w="1276" w:type="dxa"/>
            <w:vMerge w:val="continue"/>
            <w:tcBorders>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76"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hint="eastAsia" w:ascii="仿宋_GB2312" w:hAnsi="宋体" w:eastAsia="仿宋_GB2312" w:cs="宋体"/>
                <w:kern w:val="0"/>
                <w:sz w:val="22"/>
                <w:szCs w:val="22"/>
              </w:rPr>
            </w:pPr>
          </w:p>
        </w:tc>
        <w:tc>
          <w:tcPr>
            <w:tcW w:w="1134" w:type="dxa"/>
            <w:vMerge w:val="continue"/>
            <w:tcBorders>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397" w:hRule="atLeast"/>
        </w:trPr>
        <w:tc>
          <w:tcPr>
            <w:tcW w:w="42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w:t>
            </w:r>
          </w:p>
        </w:tc>
      </w:tr>
      <w:tr>
        <w:tblPrEx>
          <w:tblCellMar>
            <w:top w:w="0" w:type="dxa"/>
            <w:left w:w="108" w:type="dxa"/>
            <w:bottom w:w="0" w:type="dxa"/>
            <w:right w:w="108" w:type="dxa"/>
          </w:tblCellMar>
        </w:tblPrEx>
        <w:trPr>
          <w:trHeight w:val="397" w:hRule="atLeast"/>
        </w:trPr>
        <w:tc>
          <w:tcPr>
            <w:tcW w:w="42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1,299.74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748.21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250.60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294.86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 w:val="18"/>
                <w:szCs w:val="18"/>
              </w:rPr>
            </w:pPr>
            <w:r>
              <w:rPr>
                <w:rFonts w:ascii="仿宋_GB2312" w:eastAsia="仿宋_GB2312"/>
                <w:sz w:val="18"/>
                <w:szCs w:val="18"/>
              </w:rPr>
              <w:t>6.07</w:t>
            </w: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201</w:t>
            </w:r>
          </w:p>
        </w:tc>
        <w:tc>
          <w:tcPr>
            <w:tcW w:w="2835" w:type="dxa"/>
            <w:tcBorders>
              <w:top w:val="single" w:color="auto" w:sz="4" w:space="0"/>
              <w:left w:val="single" w:color="auto" w:sz="4" w:space="0"/>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一般公共服务支出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1,204.88</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653.35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250.60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294.86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r>
              <w:rPr>
                <w:rFonts w:ascii="仿宋_GB2312" w:eastAsia="仿宋_GB2312"/>
                <w:sz w:val="18"/>
                <w:szCs w:val="18"/>
              </w:rPr>
              <w:t>6.07</w:t>
            </w: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20138</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市场监督管理事务</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1,204.88</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653.35</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250.60</w:t>
            </w: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294.86</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eastAsia="仿宋_GB2312"/>
                <w:sz w:val="18"/>
                <w:szCs w:val="18"/>
              </w:rPr>
            </w:pPr>
            <w:r>
              <w:rPr>
                <w:rFonts w:ascii="仿宋_GB2312" w:eastAsia="仿宋_GB2312"/>
                <w:sz w:val="18"/>
                <w:szCs w:val="18"/>
              </w:rPr>
              <w:t>6.07</w:t>
            </w: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2013850</w:t>
            </w:r>
          </w:p>
        </w:tc>
        <w:tc>
          <w:tcPr>
            <w:tcW w:w="2835" w:type="dxa"/>
            <w:tcBorders>
              <w:top w:val="nil"/>
              <w:left w:val="nil"/>
              <w:bottom w:val="single" w:color="auto" w:sz="4" w:space="0"/>
              <w:right w:val="single" w:color="auto" w:sz="4" w:space="0"/>
            </w:tcBorders>
          </w:tcPr>
          <w:p>
            <w:pPr>
              <w:spacing w:line="240" w:lineRule="exact"/>
              <w:ind w:firstLine="156" w:firstLineChars="100"/>
              <w:rPr>
                <w:rFonts w:hint="eastAsia" w:ascii="仿宋_GB2312" w:eastAsia="仿宋_GB2312"/>
                <w:sz w:val="16"/>
                <w:szCs w:val="16"/>
              </w:rPr>
            </w:pPr>
            <w:r>
              <w:rPr>
                <w:rFonts w:hint="eastAsia" w:ascii="仿宋_GB2312" w:eastAsia="仿宋_GB2312"/>
                <w:sz w:val="16"/>
                <w:szCs w:val="16"/>
              </w:rPr>
              <w:t>事业运行</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1,204.88</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653.35</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250.60</w:t>
            </w: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294.86</w:t>
            </w: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6.07</w:t>
            </w: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208</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社会保障和就业支出</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60"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20805</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行政事业单位养老支出</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2080505</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机关事业单位基本养老保险缴费支出</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42.12</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42.12</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2080506</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机关事业单位职业年金缴费支出</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21.06</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21.06</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221</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住房保障支出</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auto" w:fill="FFFFFF"/>
          </w:tcPr>
          <w:p>
            <w:pPr>
              <w:spacing w:line="240" w:lineRule="exact"/>
              <w:jc w:val="left"/>
              <w:rPr>
                <w:rFonts w:hint="eastAsia" w:ascii="仿宋_GB2312" w:eastAsia="仿宋_GB2312"/>
                <w:sz w:val="16"/>
                <w:szCs w:val="16"/>
              </w:rPr>
            </w:pPr>
            <w:r>
              <w:rPr>
                <w:rFonts w:ascii="仿宋_GB2312" w:eastAsia="仿宋_GB2312"/>
                <w:sz w:val="16"/>
                <w:szCs w:val="16"/>
              </w:rPr>
              <w:t>22102</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住房改革支出</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397" w:hRule="atLeast"/>
        </w:trPr>
        <w:tc>
          <w:tcPr>
            <w:tcW w:w="1384" w:type="dxa"/>
            <w:tcBorders>
              <w:top w:val="nil"/>
              <w:left w:val="single" w:color="000000" w:sz="4" w:space="0"/>
              <w:bottom w:val="single" w:color="000000" w:sz="4" w:space="0"/>
              <w:right w:val="single" w:color="000000" w:sz="4" w:space="0"/>
            </w:tcBorders>
            <w:shd w:val="clear" w:color="000000" w:fill="FFFFFF"/>
          </w:tcPr>
          <w:p>
            <w:pPr>
              <w:spacing w:line="240" w:lineRule="exact"/>
              <w:jc w:val="left"/>
              <w:rPr>
                <w:rFonts w:hint="eastAsia" w:ascii="仿宋_GB2312" w:eastAsia="仿宋_GB2312"/>
                <w:sz w:val="16"/>
                <w:szCs w:val="16"/>
              </w:rPr>
            </w:pPr>
            <w:r>
              <w:rPr>
                <w:rFonts w:ascii="仿宋_GB2312" w:eastAsia="仿宋_GB2312"/>
                <w:sz w:val="16"/>
                <w:szCs w:val="16"/>
              </w:rPr>
              <w:t>2210201</w:t>
            </w:r>
          </w:p>
        </w:tc>
        <w:tc>
          <w:tcPr>
            <w:tcW w:w="2835" w:type="dxa"/>
            <w:tcBorders>
              <w:top w:val="nil"/>
              <w:left w:val="nil"/>
              <w:bottom w:val="single" w:color="auto" w:sz="4" w:space="0"/>
              <w:right w:val="single" w:color="auto" w:sz="4" w:space="0"/>
            </w:tcBorders>
          </w:tcPr>
          <w:p>
            <w:pPr>
              <w:spacing w:line="240" w:lineRule="exact"/>
              <w:rPr>
                <w:rFonts w:hint="eastAsia" w:ascii="仿宋_GB2312" w:eastAsia="仿宋_GB2312"/>
                <w:sz w:val="16"/>
                <w:szCs w:val="16"/>
              </w:rPr>
            </w:pPr>
            <w:r>
              <w:rPr>
                <w:rFonts w:hint="eastAsia" w:ascii="仿宋_GB2312" w:eastAsia="仿宋_GB2312"/>
                <w:sz w:val="16"/>
                <w:szCs w:val="16"/>
              </w:rPr>
              <w:t>住房公积金</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5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55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bl>
    <w:p>
      <w:pPr>
        <w:wordWrap w:val="0"/>
        <w:spacing w:line="400" w:lineRule="exact"/>
        <w:ind w:right="276"/>
        <w:jc w:val="right"/>
        <w:rPr>
          <w:rFonts w:ascii="楷体_GB2312" w:eastAsia="楷体_GB2312"/>
          <w:sz w:val="28"/>
          <w:szCs w:val="28"/>
        </w:rPr>
      </w:pPr>
      <w:r>
        <w:rPr>
          <w:rFonts w:hint="eastAsia" w:ascii="楷体_GB2312" w:eastAsia="楷体_GB2312"/>
          <w:sz w:val="28"/>
          <w:szCs w:val="28"/>
        </w:rPr>
        <w:t xml:space="preserve">单位：青岛市标准化研究院                      </w:t>
      </w:r>
      <w:r>
        <w:rPr>
          <w:rFonts w:ascii="楷体_GB2312" w:eastAsia="楷体_GB2312"/>
          <w:sz w:val="28"/>
          <w:szCs w:val="28"/>
        </w:rPr>
        <w:t xml:space="preserve">                              </w:t>
      </w:r>
      <w:r>
        <w:rPr>
          <w:rFonts w:hint="eastAsia" w:ascii="楷体_GB2312" w:eastAsia="楷体_GB2312"/>
          <w:sz w:val="28"/>
          <w:szCs w:val="28"/>
        </w:rPr>
        <w:t>金额单位：万元</w:t>
      </w:r>
    </w:p>
    <w:p>
      <w:pPr>
        <w:spacing w:line="400" w:lineRule="exact"/>
        <w:ind w:firstLine="108" w:firstLineChars="50"/>
        <w:jc w:val="left"/>
        <w:rPr>
          <w:rFonts w:hint="eastAsia" w:ascii="仿宋_GB2312" w:hAnsi="宋体" w:eastAsia="仿宋_GB2312"/>
          <w:sz w:val="22"/>
          <w:szCs w:val="22"/>
        </w:rPr>
      </w:pPr>
      <w:r>
        <w:rPr>
          <w:rFonts w:hint="eastAsia" w:ascii="仿宋_GB2312" w:hAnsi="宋体" w:eastAsia="仿宋_GB2312"/>
          <w:sz w:val="22"/>
          <w:szCs w:val="22"/>
        </w:rPr>
        <w:t>注：本表反映单位本年度取得的各项收入情况。</w:t>
      </w:r>
    </w:p>
    <w:p>
      <w:pPr>
        <w:jc w:val="center"/>
        <w:rPr>
          <w:rFonts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hint="eastAsia" w:ascii="楷体_GB2312" w:eastAsia="楷体_GB2312"/>
          <w:sz w:val="28"/>
          <w:szCs w:val="28"/>
        </w:rPr>
      </w:pPr>
      <w:r>
        <w:rPr>
          <w:rFonts w:hint="eastAsia" w:ascii="楷体_GB2312" w:eastAsia="楷体_GB2312"/>
          <w:sz w:val="28"/>
          <w:szCs w:val="28"/>
        </w:rPr>
        <w:t xml:space="preserve">                                                                                   公开03表</w:t>
      </w:r>
    </w:p>
    <w:p>
      <w:pPr>
        <w:wordWrap w:val="0"/>
        <w:spacing w:line="400" w:lineRule="exact"/>
        <w:ind w:firstLine="138" w:firstLineChars="50"/>
        <w:jc w:val="right"/>
        <w:rPr>
          <w:rFonts w:hint="eastAsia" w:ascii="楷体_GB2312" w:eastAsia="楷体_GB2312"/>
          <w:sz w:val="28"/>
          <w:szCs w:val="28"/>
        </w:rPr>
      </w:pPr>
      <w:r>
        <w:rPr>
          <w:rFonts w:hint="eastAsia" w:ascii="楷体_GB2312" w:eastAsia="楷体_GB2312"/>
          <w:sz w:val="28"/>
          <w:szCs w:val="28"/>
        </w:rPr>
        <w:t>单位：青岛市标准化研究院                                                          金额单位：万元</w:t>
      </w:r>
    </w:p>
    <w:tbl>
      <w:tblPr>
        <w:tblStyle w:val="11"/>
        <w:tblW w:w="0" w:type="auto"/>
        <w:jc w:val="center"/>
        <w:tblLayout w:type="fixed"/>
        <w:tblCellMar>
          <w:top w:w="0" w:type="dxa"/>
          <w:left w:w="108" w:type="dxa"/>
          <w:bottom w:w="0" w:type="dxa"/>
          <w:right w:w="108" w:type="dxa"/>
        </w:tblCellMar>
      </w:tblPr>
      <w:tblGrid>
        <w:gridCol w:w="1247"/>
        <w:gridCol w:w="3007"/>
        <w:gridCol w:w="1701"/>
        <w:gridCol w:w="1359"/>
        <w:gridCol w:w="1460"/>
        <w:gridCol w:w="1575"/>
        <w:gridCol w:w="1345"/>
        <w:gridCol w:w="1460"/>
      </w:tblGrid>
      <w:tr>
        <w:tblPrEx>
          <w:tblCellMar>
            <w:top w:w="0" w:type="dxa"/>
            <w:left w:w="108" w:type="dxa"/>
            <w:bottom w:w="0" w:type="dxa"/>
            <w:right w:w="108" w:type="dxa"/>
          </w:tblCellMar>
        </w:tblPrEx>
        <w:trPr>
          <w:trHeight w:val="458" w:hRule="atLeast"/>
          <w:jc w:val="center"/>
        </w:trPr>
        <w:tc>
          <w:tcPr>
            <w:tcW w:w="425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0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本年支出合计</w:t>
            </w:r>
          </w:p>
        </w:tc>
        <w:tc>
          <w:tcPr>
            <w:tcW w:w="135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46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57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上缴上级支出</w:t>
            </w:r>
          </w:p>
        </w:tc>
        <w:tc>
          <w:tcPr>
            <w:tcW w:w="134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经营支出    </w:t>
            </w:r>
          </w:p>
        </w:tc>
        <w:tc>
          <w:tcPr>
            <w:tcW w:w="146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对附属单位</w:t>
            </w:r>
          </w:p>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补助支出</w:t>
            </w:r>
          </w:p>
        </w:tc>
      </w:tr>
      <w:tr>
        <w:tblPrEx>
          <w:tblCellMar>
            <w:top w:w="0" w:type="dxa"/>
            <w:left w:w="108" w:type="dxa"/>
            <w:bottom w:w="0" w:type="dxa"/>
            <w:right w:w="108" w:type="dxa"/>
          </w:tblCellMar>
        </w:tblPrEx>
        <w:trPr>
          <w:trHeight w:val="457"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3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0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359"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46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575"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345"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46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406" w:hRule="atLeast"/>
          <w:jc w:val="center"/>
        </w:trPr>
        <w:tc>
          <w:tcPr>
            <w:tcW w:w="425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0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3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4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5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3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4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CellMar>
            <w:top w:w="0" w:type="dxa"/>
            <w:left w:w="108" w:type="dxa"/>
            <w:bottom w:w="0" w:type="dxa"/>
            <w:right w:w="108" w:type="dxa"/>
          </w:tblCellMar>
        </w:tblPrEx>
        <w:trPr>
          <w:trHeight w:val="406" w:hRule="atLeast"/>
          <w:jc w:val="center"/>
        </w:trPr>
        <w:tc>
          <w:tcPr>
            <w:tcW w:w="425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1,231.25</w:t>
            </w:r>
          </w:p>
        </w:tc>
        <w:tc>
          <w:tcPr>
            <w:tcW w:w="13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590.21</w:t>
            </w:r>
          </w:p>
        </w:tc>
        <w:tc>
          <w:tcPr>
            <w:tcW w:w="14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363.83</w:t>
            </w:r>
          </w:p>
        </w:tc>
        <w:tc>
          <w:tcPr>
            <w:tcW w:w="157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277.21</w:t>
            </w:r>
          </w:p>
        </w:tc>
        <w:tc>
          <w:tcPr>
            <w:tcW w:w="14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single" w:color="auto" w:sz="4" w:space="0"/>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201</w:t>
            </w:r>
          </w:p>
        </w:tc>
        <w:tc>
          <w:tcPr>
            <w:tcW w:w="300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一般公共服务支出</w:t>
            </w:r>
          </w:p>
        </w:tc>
        <w:tc>
          <w:tcPr>
            <w:tcW w:w="1701" w:type="dxa"/>
            <w:tcBorders>
              <w:top w:val="single" w:color="auto" w:sz="4" w:space="0"/>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1,136.39</w:t>
            </w:r>
          </w:p>
        </w:tc>
        <w:tc>
          <w:tcPr>
            <w:tcW w:w="1359" w:type="dxa"/>
            <w:tcBorders>
              <w:top w:val="single" w:color="auto" w:sz="4" w:space="0"/>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495.35</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363.83</w:t>
            </w:r>
          </w:p>
        </w:tc>
        <w:tc>
          <w:tcPr>
            <w:tcW w:w="157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277.21</w:t>
            </w:r>
          </w:p>
        </w:tc>
        <w:tc>
          <w:tcPr>
            <w:tcW w:w="14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20138</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市场监督管理事务</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1,136.39</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495.35</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363.83</w:t>
            </w: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277.21</w:t>
            </w: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2013850</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事业运行</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1,136.39</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495.35</w:t>
            </w:r>
          </w:p>
        </w:tc>
        <w:tc>
          <w:tcPr>
            <w:tcW w:w="1460" w:type="dxa"/>
            <w:tcBorders>
              <w:top w:val="nil"/>
              <w:left w:val="single" w:color="auto" w:sz="4" w:space="0"/>
              <w:bottom w:val="single" w:color="auto" w:sz="4" w:space="0"/>
              <w:right w:val="single" w:color="auto" w:sz="4" w:space="0"/>
            </w:tcBorders>
            <w:vAlign w:val="center"/>
          </w:tcPr>
          <w:p>
            <w:pPr>
              <w:spacing w:line="240" w:lineRule="exact"/>
              <w:ind w:right="90"/>
              <w:jc w:val="center"/>
              <w:rPr>
                <w:rFonts w:hint="eastAsia" w:ascii="仿宋_GB2312" w:eastAsia="仿宋_GB2312"/>
                <w:sz w:val="18"/>
                <w:szCs w:val="18"/>
              </w:rPr>
            </w:pPr>
            <w:r>
              <w:rPr>
                <w:rFonts w:ascii="仿宋_GB2312" w:eastAsia="仿宋_GB2312"/>
                <w:sz w:val="18"/>
                <w:szCs w:val="18"/>
              </w:rPr>
              <w:t xml:space="preserve"> 363.83</w:t>
            </w: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277.21</w:t>
            </w: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208</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社会保障和就业支出</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20805</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行政事业单位养老支出</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2080505</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机关事业单位基本养老保险缴费支出</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42.12</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42.12</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2080506</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机关事业单位职业年金缴费支出</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21.06</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21.06</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221</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住房保障支出</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22102</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住房改革支出</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08" w:hRule="atLeast"/>
          <w:jc w:val="center"/>
        </w:trPr>
        <w:tc>
          <w:tcPr>
            <w:tcW w:w="1247" w:type="dxa"/>
            <w:tcBorders>
              <w:top w:val="nil"/>
              <w:left w:val="single" w:color="auto" w:sz="4" w:space="0"/>
              <w:bottom w:val="single" w:color="auto" w:sz="4" w:space="0"/>
              <w:right w:val="nil"/>
            </w:tcBorders>
            <w:vAlign w:val="center"/>
          </w:tcPr>
          <w:p>
            <w:pPr>
              <w:spacing w:line="240" w:lineRule="exact"/>
              <w:rPr>
                <w:rFonts w:hint="eastAsia" w:ascii="仿宋_GB2312" w:eastAsia="仿宋_GB2312"/>
                <w:sz w:val="16"/>
                <w:szCs w:val="16"/>
              </w:rPr>
            </w:pPr>
            <w:r>
              <w:rPr>
                <w:rFonts w:ascii="仿宋_GB2312" w:eastAsia="仿宋_GB2312"/>
                <w:sz w:val="16"/>
                <w:szCs w:val="16"/>
              </w:rPr>
              <w:t>2210201</w:t>
            </w:r>
          </w:p>
        </w:tc>
        <w:tc>
          <w:tcPr>
            <w:tcW w:w="3007"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6"/>
                <w:szCs w:val="16"/>
              </w:rPr>
            </w:pPr>
            <w:r>
              <w:rPr>
                <w:rFonts w:hint="eastAsia" w:ascii="仿宋_GB2312" w:eastAsia="仿宋_GB2312"/>
                <w:sz w:val="16"/>
                <w:szCs w:val="16"/>
              </w:rPr>
              <w:t>住房公积金</w:t>
            </w:r>
          </w:p>
        </w:tc>
        <w:tc>
          <w:tcPr>
            <w:tcW w:w="1701" w:type="dxa"/>
            <w:tcBorders>
              <w:top w:val="nil"/>
              <w:left w:val="nil"/>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359" w:type="dxa"/>
            <w:tcBorders>
              <w:top w:val="nil"/>
              <w:left w:val="single" w:color="auto" w:sz="4" w:space="0"/>
              <w:bottom w:val="single" w:color="auto" w:sz="4" w:space="0"/>
              <w:right w:val="nil"/>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460"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57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345"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46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bl>
    <w:p>
      <w:pPr>
        <w:rPr>
          <w:rFonts w:hint="eastAsia" w:ascii="仿宋_GB2312" w:hAnsi="宋体" w:eastAsia="仿宋_GB2312"/>
          <w:sz w:val="22"/>
          <w:szCs w:val="22"/>
        </w:rPr>
      </w:pPr>
      <w:r>
        <w:rPr>
          <w:rFonts w:hint="eastAsia" w:ascii="仿宋_GB2312" w:hAnsi="宋体" w:eastAsia="仿宋_GB2312"/>
          <w:sz w:val="22"/>
          <w:szCs w:val="22"/>
        </w:rPr>
        <w:t>注：本表反映单位本年度各项支出情况。</w:t>
      </w:r>
    </w:p>
    <w:p>
      <w:pPr>
        <w:rPr>
          <w:rFonts w:ascii="仿宋_GB2312" w:hAnsi="宋体" w:eastAsia="仿宋_GB2312"/>
          <w:sz w:val="22"/>
          <w:szCs w:val="22"/>
        </w:rPr>
        <w:sectPr>
          <w:pgSz w:w="16838" w:h="11906" w:orient="landscape"/>
          <w:pgMar w:top="0" w:right="1701" w:bottom="0" w:left="1701" w:header="0" w:footer="1418" w:gutter="0"/>
          <w:cols w:space="720" w:num="1"/>
          <w:docGrid w:type="linesAndChars" w:linePitch="610" w:charSpace="-849"/>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hint="eastAsia" w:ascii="楷体_GB2312" w:eastAsia="楷体_GB2312"/>
          <w:sz w:val="28"/>
          <w:szCs w:val="28"/>
        </w:rPr>
      </w:pP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公开04表 </w:t>
      </w:r>
    </w:p>
    <w:p>
      <w:pPr>
        <w:spacing w:line="400" w:lineRule="exact"/>
        <w:jc w:val="right"/>
        <w:rPr>
          <w:rFonts w:hint="eastAsia" w:ascii="楷体_GB2312" w:eastAsia="楷体_GB2312"/>
          <w:sz w:val="28"/>
          <w:szCs w:val="28"/>
        </w:rPr>
      </w:pPr>
      <w:r>
        <w:rPr>
          <w:rFonts w:hint="eastAsia" w:ascii="楷体_GB2312" w:eastAsia="楷体_GB2312"/>
          <w:sz w:val="28"/>
          <w:szCs w:val="28"/>
        </w:rPr>
        <w:t>单位：青岛市标准化研究院                                                           金额单位：万元</w:t>
      </w:r>
    </w:p>
    <w:tbl>
      <w:tblPr>
        <w:tblStyle w:val="11"/>
        <w:tblW w:w="15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3100"/>
        <w:gridCol w:w="567"/>
        <w:gridCol w:w="1200"/>
        <w:gridCol w:w="1700"/>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bookmarkStart w:id="0" w:name="_Hlk83119622"/>
            <w:r>
              <w:rPr>
                <w:rFonts w:hint="eastAsia" w:ascii="仿宋_GB2312" w:hAnsi="宋体" w:eastAsia="仿宋_GB2312" w:cs="宋体"/>
                <w:kern w:val="0"/>
                <w:sz w:val="20"/>
                <w:szCs w:val="20"/>
              </w:rPr>
              <w:t>收 入</w:t>
            </w:r>
            <w:bookmarkStart w:id="1" w:name="_Hlk83119497"/>
          </w:p>
        </w:tc>
        <w:tc>
          <w:tcPr>
            <w:tcW w:w="9967" w:type="dxa"/>
            <w:gridSpan w:val="6"/>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金额</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一般公共预算</w:t>
            </w:r>
          </w:p>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财政拨款</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政府性基金</w:t>
            </w:r>
          </w:p>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预算财政拨款</w:t>
            </w:r>
          </w:p>
        </w:tc>
        <w:tc>
          <w:tcPr>
            <w:tcW w:w="1700" w:type="dxa"/>
            <w:tcBorders>
              <w:top w:val="single" w:color="auto" w:sz="4" w:space="0"/>
              <w:left w:val="single" w:color="auto" w:sz="4" w:space="0"/>
              <w:bottom w:val="single" w:color="auto" w:sz="4" w:space="0"/>
            </w:tcBorders>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国有资本经营预算财政拨款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ind w:firstLine="1176" w:firstLineChars="600"/>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700" w:type="dxa"/>
            <w:tcBorders>
              <w:top w:val="single" w:color="auto" w:sz="4" w:space="0"/>
              <w:left w:val="single" w:color="auto" w:sz="4" w:space="0"/>
              <w:bottom w:val="single" w:color="auto" w:sz="4" w:space="0"/>
            </w:tcBorders>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r>
      <w:bookmarkEnd w:id="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一、一般公共预算财政拨款</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48.21</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一、一般公共服务支出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653.35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653.35</w:t>
            </w: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二、政府性基金预算财政拨款</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二、外交支出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三、国有资本经营预算财政拨款</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三、国防支出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35</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四、公共安全支出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36</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五、教育支出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37</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六、科学技术支出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38</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七、文化旅游体育与传媒支出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r>
              <w:rPr>
                <w:rFonts w:ascii="仿宋_GB2312" w:hAnsi="宋体" w:eastAsia="仿宋_GB2312" w:cs="宋体"/>
                <w:kern w:val="0"/>
                <w:sz w:val="20"/>
                <w:szCs w:val="20"/>
              </w:rPr>
              <w:t>9</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八、社会保障和就业支出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40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bCs/>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九、卫生健康支出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1</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0</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十、节能环保支出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2</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1</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十一、城乡社区支出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3</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2</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十二、农林水支出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4</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3</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十三、交通运输支出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5</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bCs/>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4</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十四、资源勘探工业信息等支出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6</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b/>
                <w:bCs/>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bCs/>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5</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十五、商业服务业等支出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7</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b/>
                <w:bCs/>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b/>
                <w:bCs/>
                <w:kern w:val="0"/>
                <w:sz w:val="20"/>
                <w:szCs w:val="20"/>
              </w:rPr>
            </w:pPr>
          </w:p>
        </w:tc>
      </w:tr>
      <w:bookmarkEnd w:id="0"/>
    </w:tbl>
    <w:p>
      <w:pPr>
        <w:ind w:firstLine="108" w:firstLineChars="50"/>
        <w:rPr>
          <w:rFonts w:hint="eastAsia" w:ascii="仿宋_GB2312" w:hAnsi="宋体" w:eastAsia="仿宋_GB2312"/>
          <w:sz w:val="22"/>
          <w:szCs w:val="22"/>
        </w:rPr>
        <w:sectPr>
          <w:pgSz w:w="16838" w:h="11906" w:orient="landscape"/>
          <w:pgMar w:top="0" w:right="1701" w:bottom="0" w:left="1701" w:header="0" w:footer="1418" w:gutter="0"/>
          <w:cols w:space="720" w:num="1"/>
          <w:docGrid w:type="linesAndChars" w:linePitch="610" w:charSpace="-849"/>
        </w:sectPr>
      </w:pPr>
    </w:p>
    <w:tbl>
      <w:tblPr>
        <w:tblStyle w:val="11"/>
        <w:tblW w:w="15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3100"/>
        <w:gridCol w:w="567"/>
        <w:gridCol w:w="1200"/>
        <w:gridCol w:w="1700"/>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收 入</w:t>
            </w:r>
          </w:p>
        </w:tc>
        <w:tc>
          <w:tcPr>
            <w:tcW w:w="9967" w:type="dxa"/>
            <w:gridSpan w:val="6"/>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金额</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一般公共预算</w:t>
            </w:r>
          </w:p>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财政拨款</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政府性基金</w:t>
            </w:r>
          </w:p>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预算财政拨款</w:t>
            </w:r>
          </w:p>
        </w:tc>
        <w:tc>
          <w:tcPr>
            <w:tcW w:w="1700" w:type="dxa"/>
            <w:tcBorders>
              <w:top w:val="single" w:color="auto" w:sz="4" w:space="0"/>
              <w:left w:val="single" w:color="auto" w:sz="4" w:space="0"/>
              <w:bottom w:val="single" w:color="auto" w:sz="4" w:space="0"/>
            </w:tcBorders>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国有资本经营预算财政拨款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ind w:firstLine="1176" w:firstLineChars="600"/>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700" w:type="dxa"/>
            <w:tcBorders>
              <w:top w:val="single" w:color="auto" w:sz="4" w:space="0"/>
              <w:left w:val="single" w:color="auto" w:sz="4" w:space="0"/>
              <w:bottom w:val="single" w:color="auto" w:sz="4" w:space="0"/>
            </w:tcBorders>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6</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十六、金融支出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8</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7</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十七、援助其他地区支出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r>
              <w:rPr>
                <w:rFonts w:ascii="仿宋_GB2312" w:hAnsi="宋体" w:eastAsia="仿宋_GB2312" w:cs="宋体"/>
                <w:kern w:val="0"/>
                <w:sz w:val="20"/>
                <w:szCs w:val="20"/>
              </w:rPr>
              <w:t>9</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8</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十八、自然资源海洋气象等支出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9</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十九、住房保障支出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1</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0</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二十、粮油物资储备支出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52</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1</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二十一、国有资本经营预算支出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2</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二十二、灾害防治及应急管理支出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3</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二十三、其他支出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5</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4</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二十四、债务还本支出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6</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5</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二十五、债务付息支出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7</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6</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二十六、抗疫特别国债安排的支出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r>
              <w:rPr>
                <w:rFonts w:ascii="仿宋_GB2312" w:hAnsi="宋体" w:eastAsia="仿宋_GB2312" w:cs="宋体"/>
                <w:kern w:val="0"/>
                <w:sz w:val="20"/>
                <w:szCs w:val="20"/>
              </w:rPr>
              <w:t>8</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bCs/>
                <w:kern w:val="0"/>
                <w:sz w:val="20"/>
                <w:szCs w:val="20"/>
              </w:rPr>
            </w:pPr>
            <w:r>
              <w:rPr>
                <w:rFonts w:hint="eastAsia" w:ascii="仿宋_GB2312" w:hAnsi="宋体" w:eastAsia="仿宋_GB2312" w:cs="宋体"/>
                <w:b/>
                <w:kern w:val="0"/>
                <w:sz w:val="20"/>
                <w:szCs w:val="20"/>
              </w:rPr>
              <w:t>本年收入合计</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27</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48.21</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bCs/>
                <w:kern w:val="0"/>
                <w:sz w:val="20"/>
                <w:szCs w:val="20"/>
              </w:rPr>
            </w:pPr>
            <w:r>
              <w:rPr>
                <w:rFonts w:hint="eastAsia" w:ascii="仿宋_GB2312" w:hAnsi="宋体" w:eastAsia="仿宋_GB2312" w:cs="宋体"/>
                <w:b/>
                <w:kern w:val="0"/>
                <w:sz w:val="20"/>
                <w:szCs w:val="20"/>
              </w:rPr>
              <w:t>本年支出合计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59</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748.21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748.21</w:t>
            </w: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年初财政拨款结转和结余</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28</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年末财政拨款结转和结余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60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ind w:firstLine="392" w:firstLineChars="200"/>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一般公共预算财政拨款</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29</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61</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30</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62</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国有资本经营预算财政拨款</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31</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63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22" w:type="dxa"/>
            <w:tcBorders>
              <w:top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bCs/>
                <w:kern w:val="0"/>
                <w:sz w:val="20"/>
                <w:szCs w:val="20"/>
              </w:rPr>
            </w:pPr>
            <w:r>
              <w:rPr>
                <w:rFonts w:hint="eastAsia" w:ascii="仿宋_GB2312" w:hAnsi="宋体" w:eastAsia="仿宋_GB2312" w:cs="宋体"/>
                <w:b/>
                <w:kern w:val="0"/>
                <w:sz w:val="20"/>
                <w:szCs w:val="20"/>
              </w:rPr>
              <w:t>总计</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32</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48.21</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bCs/>
                <w:kern w:val="0"/>
                <w:sz w:val="20"/>
                <w:szCs w:val="20"/>
              </w:rPr>
            </w:pPr>
            <w:r>
              <w:rPr>
                <w:rFonts w:hint="eastAsia" w:ascii="仿宋_GB2312" w:hAnsi="宋体" w:eastAsia="仿宋_GB2312" w:cs="宋体"/>
                <w:b/>
                <w:kern w:val="0"/>
                <w:sz w:val="20"/>
                <w:szCs w:val="20"/>
              </w:rPr>
              <w:t>总计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64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748.21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748.21</w:t>
            </w: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c>
          <w:tcPr>
            <w:tcW w:w="1700" w:type="dxa"/>
            <w:tcBorders>
              <w:top w:val="single" w:color="auto" w:sz="4" w:space="0"/>
              <w:left w:val="single" w:color="auto" w:sz="4" w:space="0"/>
              <w:bottom w:val="single" w:color="auto" w:sz="4" w:space="0"/>
            </w:tcBorders>
            <w:vAlign w:val="center"/>
          </w:tcPr>
          <w:p>
            <w:pPr>
              <w:spacing w:line="240" w:lineRule="exact"/>
              <w:jc w:val="center"/>
              <w:rPr>
                <w:rFonts w:hint="eastAsia" w:ascii="仿宋_GB2312" w:eastAsia="仿宋_GB2312"/>
                <w:sz w:val="18"/>
                <w:szCs w:val="18"/>
              </w:rPr>
            </w:pPr>
          </w:p>
        </w:tc>
      </w:tr>
    </w:tbl>
    <w:p>
      <w:pPr>
        <w:rPr>
          <w:rFonts w:hint="eastAsia" w:ascii="仿宋_GB2312" w:hAnsi="宋体" w:eastAsia="仿宋_GB2312"/>
          <w:sz w:val="22"/>
          <w:szCs w:val="22"/>
        </w:rPr>
      </w:pPr>
      <w:r>
        <w:rPr>
          <w:rFonts w:hint="eastAsia" w:ascii="仿宋_GB2312" w:hAnsi="宋体" w:eastAsia="仿宋_GB2312"/>
          <w:sz w:val="22"/>
          <w:szCs w:val="22"/>
        </w:rPr>
        <w:t>注：本表反映单位本年度一般公共预算财政拨款、政府性基金预算财政拨款和国有资本经营预算财政拨款的总收支和年末结转结余情况。</w:t>
      </w:r>
    </w:p>
    <w:p>
      <w:pPr>
        <w:jc w:val="center"/>
        <w:rPr>
          <w:rFonts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hint="eastAsia" w:ascii="楷体_GB2312" w:eastAsia="楷体_GB2312"/>
          <w:sz w:val="28"/>
          <w:szCs w:val="28"/>
        </w:rPr>
      </w:pPr>
      <w:r>
        <w:rPr>
          <w:rFonts w:hint="eastAsia" w:ascii="楷体_GB2312" w:eastAsia="楷体_GB2312"/>
          <w:sz w:val="28"/>
          <w:szCs w:val="28"/>
        </w:rPr>
        <w:t>公开05表</w:t>
      </w:r>
    </w:p>
    <w:p>
      <w:pPr>
        <w:wordWrap w:val="0"/>
        <w:spacing w:line="400" w:lineRule="exact"/>
        <w:ind w:firstLine="138" w:firstLineChars="50"/>
        <w:jc w:val="right"/>
        <w:rPr>
          <w:rFonts w:hint="eastAsia" w:ascii="楷体_GB2312" w:eastAsia="楷体_GB2312"/>
          <w:sz w:val="28"/>
          <w:szCs w:val="28"/>
        </w:rPr>
      </w:pPr>
      <w:r>
        <w:rPr>
          <w:rFonts w:hint="eastAsia" w:ascii="楷体_GB2312" w:eastAsia="楷体_GB2312"/>
          <w:sz w:val="28"/>
          <w:szCs w:val="28"/>
        </w:rPr>
        <w:t>单位：青岛市标准化研究院                                                          金额单位：万元</w:t>
      </w:r>
    </w:p>
    <w:tbl>
      <w:tblPr>
        <w:tblStyle w:val="11"/>
        <w:tblW w:w="0" w:type="auto"/>
        <w:jc w:val="center"/>
        <w:tblLayout w:type="fixed"/>
        <w:tblCellMar>
          <w:top w:w="0" w:type="dxa"/>
          <w:left w:w="108" w:type="dxa"/>
          <w:bottom w:w="0" w:type="dxa"/>
          <w:right w:w="108" w:type="dxa"/>
        </w:tblCellMar>
      </w:tblPr>
      <w:tblGrid>
        <w:gridCol w:w="1276"/>
        <w:gridCol w:w="3595"/>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CellMar>
            <w:top w:w="0" w:type="dxa"/>
            <w:left w:w="108" w:type="dxa"/>
            <w:bottom w:w="0" w:type="dxa"/>
            <w:right w:w="108" w:type="dxa"/>
          </w:tblCellMar>
        </w:tblPrEx>
        <w:trPr>
          <w:trHeight w:val="67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功能分类</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科目编码</w:t>
            </w:r>
          </w:p>
        </w:tc>
        <w:tc>
          <w:tcPr>
            <w:tcW w:w="35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748.21</w:t>
            </w:r>
          </w:p>
        </w:tc>
        <w:tc>
          <w:tcPr>
            <w:tcW w:w="2978"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590.21</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szCs w:val="22"/>
                <w:lang w:val="en-US" w:eastAsia="zh-CN"/>
              </w:rPr>
            </w:pPr>
            <w:r>
              <w:rPr>
                <w:rFonts w:ascii="仿宋_GB2312" w:eastAsia="仿宋_GB2312"/>
                <w:sz w:val="18"/>
                <w:szCs w:val="18"/>
              </w:rPr>
              <w:t>158.00</w:t>
            </w:r>
          </w:p>
        </w:tc>
      </w:tr>
      <w:tr>
        <w:tblPrEx>
          <w:tblCellMar>
            <w:top w:w="0" w:type="dxa"/>
            <w:left w:w="108" w:type="dxa"/>
            <w:bottom w:w="0" w:type="dxa"/>
            <w:right w:w="108" w:type="dxa"/>
          </w:tblCellMar>
        </w:tblPrEx>
        <w:trPr>
          <w:trHeight w:val="432"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201</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一般公共服务支出</w:t>
            </w:r>
          </w:p>
        </w:tc>
        <w:tc>
          <w:tcPr>
            <w:tcW w:w="2783"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653.35</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495.35</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158.00</w:t>
            </w:r>
          </w:p>
        </w:tc>
      </w:tr>
      <w:tr>
        <w:tblPrEx>
          <w:tblCellMar>
            <w:top w:w="0" w:type="dxa"/>
            <w:left w:w="108" w:type="dxa"/>
            <w:bottom w:w="0" w:type="dxa"/>
            <w:right w:w="108" w:type="dxa"/>
          </w:tblCellMar>
        </w:tblPrEx>
        <w:trPr>
          <w:trHeight w:val="396"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20138</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市场监督管理事务</w:t>
            </w:r>
          </w:p>
        </w:tc>
        <w:tc>
          <w:tcPr>
            <w:tcW w:w="278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653.35</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495.35</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158.00</w:t>
            </w: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2013850</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事业运行</w:t>
            </w:r>
          </w:p>
        </w:tc>
        <w:tc>
          <w:tcPr>
            <w:tcW w:w="278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653.35</w:t>
            </w:r>
          </w:p>
        </w:tc>
        <w:tc>
          <w:tcPr>
            <w:tcW w:w="2978"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495.35</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158.00</w:t>
            </w: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208</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社会保障和就业支出</w:t>
            </w:r>
          </w:p>
        </w:tc>
        <w:tc>
          <w:tcPr>
            <w:tcW w:w="2783"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63.18</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63.18</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20805</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行政事业单位养老支出</w:t>
            </w:r>
          </w:p>
        </w:tc>
        <w:tc>
          <w:tcPr>
            <w:tcW w:w="278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63.18</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63.18</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2080505</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机关事业单位基本养老保险缴费支出</w:t>
            </w:r>
          </w:p>
        </w:tc>
        <w:tc>
          <w:tcPr>
            <w:tcW w:w="2783"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42.12</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42.12</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2080506</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机关事业单位职业年金缴费支出</w:t>
            </w:r>
          </w:p>
        </w:tc>
        <w:tc>
          <w:tcPr>
            <w:tcW w:w="2783"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21.06</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21.06</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221</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住房保障支出</w:t>
            </w:r>
          </w:p>
        </w:tc>
        <w:tc>
          <w:tcPr>
            <w:tcW w:w="2783"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31.68</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31.68</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ascii="仿宋_GB2312" w:hAnsi="宋体" w:eastAsia="仿宋_GB2312" w:cs="宋体"/>
                <w:kern w:val="0"/>
                <w:sz w:val="20"/>
                <w:szCs w:val="20"/>
              </w:rPr>
              <w:t>22102</w:t>
            </w:r>
          </w:p>
        </w:tc>
        <w:tc>
          <w:tcPr>
            <w:tcW w:w="3595" w:type="dxa"/>
            <w:tcBorders>
              <w:top w:val="nil"/>
              <w:left w:val="nil"/>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住房改革支出</w:t>
            </w:r>
          </w:p>
        </w:tc>
        <w:tc>
          <w:tcPr>
            <w:tcW w:w="278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31.68</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r>
        <w:tblPrEx>
          <w:tblCellMar>
            <w:top w:w="0" w:type="dxa"/>
            <w:left w:w="108" w:type="dxa"/>
            <w:bottom w:w="0" w:type="dxa"/>
            <w:right w:w="108" w:type="dxa"/>
          </w:tblCellMar>
        </w:tblPrEx>
        <w:trPr>
          <w:trHeight w:val="454" w:hRule="exact"/>
          <w:jc w:val="center"/>
        </w:trPr>
        <w:tc>
          <w:tcPr>
            <w:tcW w:w="1276" w:type="dxa"/>
            <w:tcBorders>
              <w:top w:val="nil"/>
              <w:left w:val="single" w:color="auto" w:sz="4" w:space="0"/>
              <w:bottom w:val="single" w:color="auto" w:sz="4" w:space="0"/>
              <w:right w:val="single" w:color="auto" w:sz="4" w:space="0"/>
            </w:tcBorders>
          </w:tcPr>
          <w:p>
            <w:pPr>
              <w:widowControl/>
              <w:spacing w:line="300" w:lineRule="exact"/>
              <w:jc w:val="left"/>
              <w:rPr>
                <w:rFonts w:hint="eastAsia" w:ascii="仿宋_GB2312" w:hAnsi="宋体" w:eastAsia="仿宋_GB2312" w:cs="宋体"/>
                <w:kern w:val="0"/>
                <w:sz w:val="20"/>
                <w:szCs w:val="20"/>
              </w:rPr>
            </w:pPr>
            <w:commentRangeStart w:id="0"/>
            <w:r>
              <w:rPr>
                <w:rFonts w:ascii="仿宋_GB2312" w:hAnsi="宋体" w:eastAsia="仿宋_GB2312" w:cs="宋体"/>
                <w:kern w:val="0"/>
                <w:sz w:val="20"/>
                <w:szCs w:val="20"/>
              </w:rPr>
              <w:t>2210201</w:t>
            </w:r>
            <w:commentRangeEnd w:id="0"/>
            <w:r>
              <w:rPr>
                <w:rStyle w:val="14"/>
              </w:rPr>
              <w:commentReference w:id="0"/>
            </w:r>
          </w:p>
        </w:tc>
        <w:tc>
          <w:tcPr>
            <w:tcW w:w="3595" w:type="dxa"/>
            <w:tcBorders>
              <w:top w:val="nil"/>
              <w:left w:val="nil"/>
              <w:bottom w:val="single" w:color="auto" w:sz="4" w:space="0"/>
              <w:right w:val="single" w:color="auto" w:sz="4" w:space="0"/>
            </w:tcBorders>
          </w:tcPr>
          <w:p>
            <w:pPr>
              <w:widowControl/>
              <w:tabs>
                <w:tab w:val="center" w:pos="1689"/>
              </w:tabs>
              <w:spacing w:line="300" w:lineRule="exact"/>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住房公积金</w:t>
            </w:r>
            <w:r>
              <w:rPr>
                <w:rFonts w:hint="eastAsia" w:ascii="仿宋_GB2312" w:hAnsi="宋体" w:eastAsia="仿宋_GB2312" w:cs="宋体"/>
                <w:kern w:val="0"/>
                <w:sz w:val="20"/>
                <w:szCs w:val="20"/>
                <w:lang w:eastAsia="zh-CN"/>
              </w:rPr>
              <w:tab/>
            </w:r>
          </w:p>
        </w:tc>
        <w:tc>
          <w:tcPr>
            <w:tcW w:w="278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2978"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31.68</w:t>
            </w:r>
          </w:p>
        </w:tc>
        <w:tc>
          <w:tcPr>
            <w:tcW w:w="2520"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r>
    </w:tbl>
    <w:p>
      <w:pPr>
        <w:spacing w:line="400" w:lineRule="exact"/>
        <w:ind w:firstLine="108" w:firstLineChars="50"/>
        <w:jc w:val="left"/>
        <w:rPr>
          <w:rFonts w:hint="eastAsia" w:ascii="仿宋_GB2312" w:hAnsi="宋体" w:eastAsia="仿宋_GB2312"/>
          <w:sz w:val="22"/>
          <w:szCs w:val="22"/>
        </w:rPr>
      </w:pPr>
      <w:r>
        <w:rPr>
          <w:rFonts w:hint="eastAsia" w:ascii="仿宋_GB2312" w:hAnsi="宋体" w:eastAsia="仿宋_GB2312"/>
          <w:sz w:val="22"/>
          <w:szCs w:val="22"/>
        </w:rPr>
        <w:t>注：本表反映单位本年度一般公共预算财政拨款支出情况。</w:t>
      </w:r>
    </w:p>
    <w:p>
      <w:pPr>
        <w:spacing w:line="400" w:lineRule="exact"/>
        <w:jc w:val="left"/>
        <w:rPr>
          <w:rFonts w:ascii="仿宋_GB2312" w:hAnsi="宋体" w:eastAsia="仿宋_GB2312"/>
          <w:sz w:val="22"/>
          <w:szCs w:val="22"/>
        </w:rPr>
        <w:sectPr>
          <w:pgSz w:w="16838" w:h="11906" w:orient="landscape"/>
          <w:pgMar w:top="851" w:right="1701" w:bottom="567" w:left="1701" w:header="0" w:footer="1418" w:gutter="0"/>
          <w:cols w:space="720" w:num="1"/>
          <w:docGrid w:type="linesAndChars" w:linePitch="610" w:charSpace="-849"/>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hint="eastAsia"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hint="eastAsia" w:ascii="楷体_GB2312" w:eastAsia="楷体_GB2312"/>
          <w:sz w:val="28"/>
          <w:szCs w:val="28"/>
        </w:rPr>
      </w:pPr>
      <w:r>
        <w:rPr>
          <w:rFonts w:hint="eastAsia" w:ascii="楷体_GB2312" w:eastAsia="楷体_GB2312"/>
          <w:sz w:val="28"/>
          <w:szCs w:val="28"/>
        </w:rPr>
        <w:t>单位：青岛市标准化研究院                                                          金额单位：万元</w:t>
      </w:r>
    </w:p>
    <w:tbl>
      <w:tblPr>
        <w:tblStyle w:val="11"/>
        <w:tblW w:w="0" w:type="auto"/>
        <w:jc w:val="center"/>
        <w:tblLayout w:type="fixed"/>
        <w:tblCellMar>
          <w:top w:w="0" w:type="dxa"/>
          <w:left w:w="108" w:type="dxa"/>
          <w:bottom w:w="0" w:type="dxa"/>
          <w:right w:w="108" w:type="dxa"/>
        </w:tblCellMar>
      </w:tblPr>
      <w:tblGrid>
        <w:gridCol w:w="1008"/>
        <w:gridCol w:w="3023"/>
        <w:gridCol w:w="847"/>
        <w:gridCol w:w="1138"/>
        <w:gridCol w:w="1984"/>
        <w:gridCol w:w="833"/>
        <w:gridCol w:w="1010"/>
        <w:gridCol w:w="2551"/>
        <w:gridCol w:w="881"/>
      </w:tblGrid>
      <w:tr>
        <w:tblPrEx>
          <w:tblCellMar>
            <w:top w:w="0" w:type="dxa"/>
            <w:left w:w="108" w:type="dxa"/>
            <w:bottom w:w="0" w:type="dxa"/>
            <w:right w:w="108" w:type="dxa"/>
          </w:tblCellMar>
        </w:tblPrEx>
        <w:trPr>
          <w:trHeight w:val="369" w:hRule="atLeast"/>
          <w:tblHeader/>
          <w:jc w:val="center"/>
        </w:trPr>
        <w:tc>
          <w:tcPr>
            <w:tcW w:w="4878"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97"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color w:val="000000"/>
                <w:kern w:val="0"/>
                <w:sz w:val="22"/>
                <w:szCs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hint="eastAsia"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361.60</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219.78</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97.48</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4.53</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36.73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2.50</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105.25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1.75</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42.12</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3.23</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21.06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10.23</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24.83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0.11</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2.45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0.44</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31.68</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1.05</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8.83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2.45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0.19</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84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847" w:type="dxa"/>
            <w:tcBorders>
              <w:top w:val="nil"/>
              <w:left w:val="nil"/>
              <w:bottom w:val="single" w:color="auto" w:sz="4" w:space="0"/>
              <w:right w:val="single" w:color="auto" w:sz="4" w:space="0"/>
            </w:tcBorders>
          </w:tcPr>
          <w:p>
            <w:pPr>
              <w:spacing w:line="240" w:lineRule="exact"/>
              <w:jc w:val="center"/>
              <w:rPr>
                <w:rFonts w:hint="eastAsia" w:ascii="仿宋_GB2312" w:eastAsia="仿宋_GB2312"/>
                <w:sz w:val="18"/>
                <w:szCs w:val="18"/>
              </w:rPr>
            </w:pPr>
            <w:r>
              <w:rPr>
                <w:rFonts w:ascii="仿宋_GB2312" w:eastAsia="仿宋_GB2312"/>
                <w:sz w:val="18"/>
                <w:szCs w:val="18"/>
              </w:rPr>
              <w:t>6.37</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6.87</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代缴社会保险费</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0.01</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847" w:type="dxa"/>
            <w:tcBorders>
              <w:top w:val="nil"/>
              <w:left w:val="nil"/>
              <w:bottom w:val="single" w:color="auto" w:sz="4" w:space="0"/>
              <w:right w:val="single" w:color="auto" w:sz="4" w:space="0"/>
            </w:tcBorders>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r>
              <w:rPr>
                <w:rFonts w:ascii="仿宋_GB2312" w:eastAsia="仿宋_GB2312"/>
                <w:sz w:val="18"/>
                <w:szCs w:val="18"/>
              </w:rPr>
              <w:t>188.88</w:t>
            </w: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rPr>
            </w:pPr>
          </w:p>
        </w:tc>
        <w:tc>
          <w:tcPr>
            <w:tcW w:w="1010"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847" w:type="dxa"/>
            <w:tcBorders>
              <w:top w:val="nil"/>
              <w:left w:val="nil"/>
              <w:bottom w:val="single" w:color="auto" w:sz="8"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370.43</w:t>
            </w:r>
          </w:p>
        </w:tc>
        <w:tc>
          <w:tcPr>
            <w:tcW w:w="7516"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spacing w:line="240" w:lineRule="exact"/>
              <w:jc w:val="center"/>
              <w:rPr>
                <w:rFonts w:ascii="仿宋_GB2312" w:hAnsi="宋体" w:eastAsia="仿宋_GB2312" w:cs="宋体"/>
                <w:color w:val="000000"/>
                <w:kern w:val="0"/>
                <w:sz w:val="20"/>
                <w:szCs w:val="20"/>
              </w:rPr>
            </w:pPr>
            <w:r>
              <w:rPr>
                <w:rFonts w:ascii="仿宋_GB2312" w:eastAsia="仿宋_GB2312"/>
                <w:sz w:val="18"/>
                <w:szCs w:val="18"/>
              </w:rPr>
              <w:t>219.78</w:t>
            </w:r>
          </w:p>
        </w:tc>
      </w:tr>
    </w:tbl>
    <w:p>
      <w:pPr>
        <w:spacing w:line="400" w:lineRule="exact"/>
        <w:ind w:firstLine="108" w:firstLineChars="50"/>
        <w:jc w:val="left"/>
        <w:rPr>
          <w:rFonts w:hint="eastAsia" w:ascii="仿宋_GB2312" w:hAnsi="宋体" w:eastAsia="仿宋_GB2312"/>
          <w:sz w:val="22"/>
          <w:szCs w:val="22"/>
        </w:rPr>
      </w:pPr>
      <w:r>
        <w:rPr>
          <w:rFonts w:hint="eastAsia" w:ascii="仿宋_GB2312" w:hAnsi="宋体" w:eastAsia="仿宋_GB2312"/>
          <w:sz w:val="22"/>
          <w:szCs w:val="22"/>
        </w:rPr>
        <w:t>注:本表反映单位本年度一般公共预算财政拨款基本支出明细情况。</w:t>
      </w:r>
    </w:p>
    <w:p>
      <w:pPr>
        <w:rPr>
          <w:rFonts w:hint="eastAsia"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hint="eastAsia"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right"/>
        <w:rPr>
          <w:rFonts w:hint="eastAsia" w:ascii="楷体_GB2312" w:eastAsia="楷体_GB2312"/>
          <w:sz w:val="28"/>
          <w:szCs w:val="28"/>
        </w:rPr>
      </w:pPr>
      <w:r>
        <w:rPr>
          <w:rFonts w:hint="eastAsia" w:ascii="楷体_GB2312" w:eastAsia="楷体_GB2312"/>
          <w:sz w:val="28"/>
          <w:szCs w:val="28"/>
        </w:rPr>
        <w:t>单位：青岛市标准化研究院                                                          金额单位：万元</w:t>
      </w:r>
    </w:p>
    <w:tbl>
      <w:tblPr>
        <w:tblStyle w:val="11"/>
        <w:tblW w:w="0" w:type="auto"/>
        <w:jc w:val="center"/>
        <w:tblLayout w:type="fixed"/>
        <w:tblCellMar>
          <w:top w:w="0" w:type="dxa"/>
          <w:left w:w="108" w:type="dxa"/>
          <w:bottom w:w="0" w:type="dxa"/>
          <w:right w:w="108" w:type="dxa"/>
        </w:tblCellMar>
      </w:tblPr>
      <w:tblGrid>
        <w:gridCol w:w="1179"/>
        <w:gridCol w:w="1195"/>
        <w:gridCol w:w="1180"/>
        <w:gridCol w:w="1180"/>
        <w:gridCol w:w="1272"/>
        <w:gridCol w:w="878"/>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95"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632"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公务用车购置及运行维护费</w:t>
            </w:r>
          </w:p>
        </w:tc>
        <w:tc>
          <w:tcPr>
            <w:tcW w:w="878" w:type="dxa"/>
            <w:vMerge w:val="restart"/>
            <w:tcBorders>
              <w:top w:val="nil"/>
              <w:left w:val="single" w:color="auto" w:sz="4" w:space="0"/>
              <w:bottom w:val="single" w:color="auto" w:sz="4"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公务用车购置及运行维护费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19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180"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80"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27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公务用车运行维护费</w:t>
            </w:r>
          </w:p>
        </w:tc>
        <w:tc>
          <w:tcPr>
            <w:tcW w:w="878" w:type="dxa"/>
            <w:vMerge w:val="continue"/>
            <w:tcBorders>
              <w:top w:val="nil"/>
              <w:left w:val="single" w:color="auto" w:sz="4" w:space="0"/>
              <w:bottom w:val="single" w:color="auto" w:sz="4" w:space="0"/>
              <w:right w:val="single" w:color="000000" w:sz="8" w:space="0"/>
            </w:tcBorders>
            <w:vAlign w:val="center"/>
          </w:tcPr>
          <w:p>
            <w:pPr>
              <w:widowControl/>
              <w:spacing w:line="300" w:lineRule="exact"/>
              <w:jc w:val="left"/>
              <w:rPr>
                <w:rFonts w:hint="eastAsia" w:ascii="仿宋_GB2312" w:hAnsi="宋体" w:eastAsia="仿宋_GB2312" w:cs="宋体"/>
                <w:kern w:val="0"/>
                <w:sz w:val="22"/>
                <w:szCs w:val="22"/>
              </w:rPr>
            </w:pPr>
          </w:p>
        </w:tc>
        <w:tc>
          <w:tcPr>
            <w:tcW w:w="1098"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jc w:val="left"/>
              <w:rPr>
                <w:rFonts w:hint="eastAsia" w:ascii="仿宋_GB2312" w:hAnsi="宋体" w:eastAsia="仿宋_GB2312" w:cs="宋体"/>
                <w:kern w:val="0"/>
                <w:sz w:val="22"/>
                <w:szCs w:val="22"/>
              </w:rPr>
            </w:pPr>
          </w:p>
        </w:tc>
        <w:tc>
          <w:tcPr>
            <w:tcW w:w="1143"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jc w:val="left"/>
              <w:rPr>
                <w:rFonts w:hint="eastAsia" w:ascii="仿宋_GB2312" w:hAnsi="宋体" w:eastAsia="仿宋_GB2312" w:cs="宋体"/>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公务用车运行维护费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195"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272"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878" w:type="dxa"/>
            <w:tcBorders>
              <w:top w:val="nil"/>
              <w:left w:val="nil"/>
              <w:bottom w:val="single" w:color="auto"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09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1143"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r>
              <w:rPr>
                <w:rFonts w:ascii="仿宋_GB2312" w:hAnsi="宋体" w:eastAsia="仿宋_GB2312" w:cs="宋体"/>
                <w:kern w:val="0"/>
                <w:sz w:val="22"/>
                <w:szCs w:val="22"/>
              </w:rPr>
              <w:t>.9</w:t>
            </w:r>
          </w:p>
        </w:tc>
        <w:tc>
          <w:tcPr>
            <w:tcW w:w="1195"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r>
              <w:rPr>
                <w:rFonts w:ascii="仿宋_GB2312" w:hAnsi="宋体" w:eastAsia="仿宋_GB2312" w:cs="宋体"/>
                <w:kern w:val="0"/>
                <w:sz w:val="22"/>
                <w:szCs w:val="22"/>
              </w:rPr>
              <w:t>.8</w:t>
            </w: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r>
              <w:rPr>
                <w:rFonts w:ascii="仿宋_GB2312" w:hAnsi="宋体" w:eastAsia="仿宋_GB2312" w:cs="宋体"/>
                <w:kern w:val="0"/>
                <w:sz w:val="22"/>
                <w:szCs w:val="22"/>
              </w:rPr>
              <w:t>.6</w:t>
            </w: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72"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r>
              <w:rPr>
                <w:rFonts w:ascii="仿宋_GB2312" w:hAnsi="宋体" w:eastAsia="仿宋_GB2312" w:cs="宋体"/>
                <w:kern w:val="0"/>
                <w:sz w:val="22"/>
                <w:szCs w:val="22"/>
              </w:rPr>
              <w:t>.6</w:t>
            </w:r>
          </w:p>
        </w:tc>
        <w:tc>
          <w:tcPr>
            <w:tcW w:w="878" w:type="dxa"/>
            <w:tcBorders>
              <w:top w:val="nil"/>
              <w:left w:val="nil"/>
              <w:bottom w:val="single" w:color="auto"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w:t>
            </w:r>
            <w:r>
              <w:rPr>
                <w:rFonts w:ascii="仿宋_GB2312" w:hAnsi="宋体" w:eastAsia="仿宋_GB2312" w:cs="宋体"/>
                <w:kern w:val="0"/>
                <w:sz w:val="22"/>
                <w:szCs w:val="22"/>
              </w:rPr>
              <w:t>.5</w:t>
            </w:r>
          </w:p>
        </w:tc>
        <w:tc>
          <w:tcPr>
            <w:tcW w:w="109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w:t>
            </w:r>
            <w:r>
              <w:rPr>
                <w:rFonts w:ascii="仿宋_GB2312" w:hAnsi="宋体" w:eastAsia="仿宋_GB2312" w:cs="宋体"/>
                <w:kern w:val="0"/>
                <w:sz w:val="22"/>
                <w:szCs w:val="22"/>
              </w:rPr>
              <w:t>.19</w:t>
            </w:r>
          </w:p>
        </w:tc>
        <w:tc>
          <w:tcPr>
            <w:tcW w:w="1143"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w:t>
            </w:r>
            <w:r>
              <w:rPr>
                <w:rFonts w:ascii="仿宋_GB2312" w:hAnsi="宋体" w:eastAsia="仿宋_GB2312" w:cs="宋体"/>
                <w:kern w:val="0"/>
                <w:sz w:val="22"/>
                <w:szCs w:val="22"/>
              </w:rPr>
              <w:t>.19</w:t>
            </w:r>
          </w:p>
        </w:tc>
      </w:tr>
    </w:tbl>
    <w:p>
      <w:pPr>
        <w:spacing w:line="360" w:lineRule="exact"/>
        <w:ind w:firstLine="108" w:firstLineChars="50"/>
        <w:rPr>
          <w:rFonts w:hint="eastAsia" w:ascii="仿宋_GB2312" w:hAnsi="宋体" w:eastAsia="仿宋_GB2312"/>
          <w:sz w:val="22"/>
          <w:szCs w:val="22"/>
        </w:rPr>
      </w:pPr>
      <w:r>
        <w:rPr>
          <w:rFonts w:hint="eastAsia" w:ascii="仿宋_GB2312" w:hAnsi="宋体" w:eastAsia="仿宋_GB2312"/>
          <w:sz w:val="22"/>
          <w:szCs w:val="22"/>
        </w:rPr>
        <w:t>注：本表反映单位本年度“三公”经费支出预决算情况。其中，预算数为“三公”经费年初预算数；决算数是包括当年一般公共预算财政拨款和以前年度结转资金安排的实际支出。</w:t>
      </w:r>
    </w:p>
    <w:p>
      <w:pPr>
        <w:spacing w:line="440" w:lineRule="exact"/>
        <w:ind w:firstLine="108" w:firstLineChars="50"/>
        <w:rPr>
          <w:rFonts w:hint="eastAsia" w:ascii="仿宋_GB2312" w:hAnsi="宋体" w:eastAsia="仿宋_GB2312"/>
          <w:sz w:val="22"/>
          <w:szCs w:val="22"/>
        </w:rPr>
      </w:pP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hint="eastAsia"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hint="eastAsia" w:ascii="楷体_GB2312" w:eastAsia="楷体_GB2312"/>
          <w:sz w:val="28"/>
          <w:szCs w:val="28"/>
        </w:rPr>
      </w:pPr>
      <w:r>
        <w:rPr>
          <w:rFonts w:hint="eastAsia" w:ascii="楷体_GB2312" w:eastAsia="楷体_GB2312"/>
          <w:sz w:val="28"/>
          <w:szCs w:val="28"/>
        </w:rPr>
        <w:t>单位：青岛市标准化研究院                                                          金额单位：万元</w:t>
      </w:r>
    </w:p>
    <w:tbl>
      <w:tblPr>
        <w:tblStyle w:val="11"/>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ind w:firstLine="108" w:firstLineChars="50"/>
        <w:rPr>
          <w:rFonts w:hint="eastAsia" w:ascii="仿宋_GB2312" w:hAnsi="宋体" w:eastAsia="仿宋_GB2312"/>
          <w:sz w:val="22"/>
          <w:szCs w:val="22"/>
          <w:lang w:eastAsia="zh-CN"/>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szCs w:val="22"/>
        </w:rPr>
        <w:t>注：本表反映单位本年度政府性基金预算财政拨款收入、支出及结转和结余情况</w:t>
      </w:r>
      <w:r>
        <w:rPr>
          <w:rFonts w:hint="eastAsia" w:ascii="仿宋_GB2312" w:hAnsi="宋体" w:eastAsia="仿宋_GB2312"/>
          <w:sz w:val="22"/>
          <w:szCs w:val="22"/>
          <w:lang w:eastAsia="zh-CN"/>
        </w:rPr>
        <w:t>；</w:t>
      </w:r>
      <w:r>
        <w:rPr>
          <w:rFonts w:hint="eastAsia" w:ascii="仿宋_GB2312" w:hAnsi="宋体" w:eastAsia="仿宋_GB2312"/>
          <w:sz w:val="22"/>
          <w:szCs w:val="22"/>
        </w:rPr>
        <w:t>本单位没有政府性基金收入，也没有使用政府性基金安排的支出，故本表无数据</w:t>
      </w:r>
      <w:r>
        <w:rPr>
          <w:rFonts w:hint="eastAsia" w:ascii="仿宋_GB2312" w:hAnsi="宋体" w:eastAsia="仿宋_GB2312"/>
          <w:sz w:val="22"/>
          <w:szCs w:val="22"/>
          <w:lang w:eastAsia="zh-CN"/>
        </w:rPr>
        <w:t>。</w:t>
      </w:r>
    </w:p>
    <w:p>
      <w:pPr>
        <w:jc w:val="center"/>
        <w:rPr>
          <w:rFonts w:hint="eastAsia" w:ascii="方正小标宋简体" w:eastAsia="方正小标宋简体"/>
          <w:sz w:val="32"/>
          <w:szCs w:val="32"/>
        </w:rPr>
      </w:pPr>
      <w:r>
        <w:rPr>
          <w:rFonts w:hint="eastAsia" w:ascii="方正小标宋简体" w:eastAsia="方正小标宋简体"/>
          <w:sz w:val="44"/>
          <w:szCs w:val="44"/>
        </w:rPr>
        <w:t>国有资本经营预算财政拨款支出决算表</w:t>
      </w:r>
    </w:p>
    <w:p>
      <w:pPr>
        <w:spacing w:line="400" w:lineRule="exact"/>
        <w:jc w:val="right"/>
        <w:rPr>
          <w:rFonts w:hint="eastAsia" w:ascii="楷体_GB2312" w:eastAsia="楷体_GB2312"/>
          <w:sz w:val="28"/>
          <w:szCs w:val="28"/>
        </w:rPr>
      </w:pPr>
      <w:r>
        <w:rPr>
          <w:rFonts w:hint="eastAsia" w:ascii="楷体_GB2312" w:eastAsia="楷体_GB2312"/>
          <w:sz w:val="32"/>
          <w:szCs w:val="32"/>
        </w:rPr>
        <w:t>公</w:t>
      </w:r>
      <w:r>
        <w:rPr>
          <w:rFonts w:hint="eastAsia" w:ascii="楷体_GB2312" w:eastAsia="楷体_GB2312"/>
          <w:sz w:val="28"/>
          <w:szCs w:val="28"/>
        </w:rPr>
        <w:t>开09表</w:t>
      </w:r>
    </w:p>
    <w:p>
      <w:pPr>
        <w:wordWrap w:val="0"/>
        <w:spacing w:line="400" w:lineRule="exact"/>
        <w:ind w:firstLine="138" w:firstLineChars="50"/>
        <w:jc w:val="right"/>
        <w:rPr>
          <w:rFonts w:hint="eastAsia" w:ascii="楷体_GB2312" w:eastAsia="楷体_GB2312"/>
          <w:sz w:val="28"/>
          <w:szCs w:val="28"/>
        </w:rPr>
      </w:pPr>
      <w:r>
        <w:rPr>
          <w:rFonts w:hint="eastAsia" w:ascii="楷体_GB2312" w:eastAsia="楷体_GB2312"/>
          <w:sz w:val="28"/>
          <w:szCs w:val="28"/>
        </w:rPr>
        <w:t>单位：青岛市标准化研究院                                                          金额单位：万元</w:t>
      </w:r>
    </w:p>
    <w:tbl>
      <w:tblPr>
        <w:tblStyle w:val="11"/>
        <w:tblW w:w="0" w:type="auto"/>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功能分类</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spacing w:line="400" w:lineRule="exact"/>
        <w:ind w:firstLine="108" w:firstLineChars="50"/>
        <w:jc w:val="left"/>
        <w:rPr>
          <w:rFonts w:hint="eastAsia" w:ascii="仿宋_GB2312" w:hAnsi="宋体" w:eastAsia="仿宋_GB2312"/>
          <w:sz w:val="22"/>
          <w:szCs w:val="22"/>
          <w:lang w:eastAsia="zh-CN"/>
        </w:rPr>
        <w:sectPr>
          <w:pgSz w:w="16838" w:h="11906" w:orient="landscape"/>
          <w:pgMar w:top="851" w:right="1701" w:bottom="567" w:left="1701" w:header="0" w:footer="1418" w:gutter="0"/>
          <w:cols w:space="720" w:num="1"/>
          <w:docGrid w:type="linesAndChars" w:linePitch="610" w:charSpace="-849"/>
        </w:sectPr>
      </w:pPr>
      <w:r>
        <w:rPr>
          <w:rFonts w:hint="eastAsia" w:ascii="仿宋_GB2312" w:hAnsi="宋体" w:eastAsia="仿宋_GB2312"/>
          <w:sz w:val="22"/>
          <w:szCs w:val="22"/>
        </w:rPr>
        <w:t>注：本表反映单位本年度国有资本经营预算财政拨款支出情况</w:t>
      </w:r>
      <w:r>
        <w:rPr>
          <w:rFonts w:hint="eastAsia" w:ascii="仿宋_GB2312" w:hAnsi="宋体" w:eastAsia="仿宋_GB2312"/>
          <w:sz w:val="22"/>
          <w:szCs w:val="22"/>
          <w:lang w:eastAsia="zh-CN"/>
        </w:rPr>
        <w:t>；</w:t>
      </w:r>
      <w:r>
        <w:rPr>
          <w:rFonts w:hint="eastAsia" w:ascii="仿宋_GB2312" w:hAnsi="宋体" w:eastAsia="仿宋_GB2312"/>
          <w:sz w:val="22"/>
          <w:szCs w:val="22"/>
        </w:rPr>
        <w:t>本单位没有使用国有资本经营预算安排的支出，故本表无数据</w:t>
      </w:r>
      <w:r>
        <w:rPr>
          <w:rFonts w:hint="eastAsia" w:ascii="仿宋_GB2312" w:hAnsi="宋体" w:eastAsia="仿宋_GB2312"/>
          <w:sz w:val="22"/>
          <w:szCs w:val="22"/>
          <w:lang w:eastAsia="zh-CN"/>
        </w:rPr>
        <w:t>。</w:t>
      </w:r>
    </w:p>
    <w:p>
      <w:pPr>
        <w:rPr>
          <w:rFonts w:hint="eastAsia" w:ascii="方正小标宋简体" w:eastAsia="方正小标宋简体"/>
          <w:sz w:val="44"/>
          <w:szCs w:val="44"/>
        </w:rPr>
      </w:pPr>
    </w:p>
    <w:p>
      <w:pPr>
        <w:rPr>
          <w:rFonts w:hint="eastAsia" w:ascii="方正小标宋简体" w:eastAsia="方正小标宋简体"/>
          <w:sz w:val="44"/>
          <w:szCs w:val="44"/>
        </w:rPr>
      </w:pPr>
    </w:p>
    <w:p>
      <w:pPr>
        <w:rPr>
          <w:rFonts w:hint="eastAsia" w:ascii="仿宋_GB2312" w:hAnsi="宋体" w:eastAsia="仿宋_GB2312"/>
          <w:sz w:val="22"/>
          <w:szCs w:val="22"/>
        </w:rPr>
      </w:pPr>
      <w:r>
        <w:rPr>
          <w:rFonts w:hint="eastAsia" w:ascii="黑体" w:eastAsia="黑体"/>
          <w:sz w:val="52"/>
          <w:szCs w:val="52"/>
        </w:rPr>
        <w:t xml:space="preserve">  第三部分</w:t>
      </w:r>
    </w:p>
    <w:p>
      <w:pPr>
        <w:rPr>
          <w:rFonts w:hint="eastAsia" w:ascii="黑体" w:eastAsia="黑体"/>
          <w:sz w:val="52"/>
          <w:szCs w:val="52"/>
        </w:rPr>
      </w:pPr>
    </w:p>
    <w:p>
      <w:pPr>
        <w:ind w:left="274" w:leftChars="8" w:hanging="258" w:hangingChars="50"/>
        <w:jc w:val="center"/>
        <w:rPr>
          <w:rFonts w:hint="eastAsia" w:ascii="黑体" w:eastAsia="黑体"/>
          <w:sz w:val="52"/>
          <w:szCs w:val="52"/>
        </w:rPr>
      </w:pPr>
      <w:r>
        <w:rPr>
          <w:rFonts w:hint="eastAsia" w:ascii="黑体" w:eastAsia="黑体"/>
          <w:sz w:val="52"/>
          <w:szCs w:val="52"/>
        </w:rPr>
        <w:t>2020</w:t>
      </w:r>
      <w:r>
        <w:rPr>
          <w:rFonts w:hint="eastAsia" w:ascii="黑体" w:eastAsia="黑体"/>
          <w:sz w:val="52"/>
          <w:szCs w:val="52"/>
          <w:lang w:eastAsia="zh-CN"/>
        </w:rPr>
        <w:t>年</w:t>
      </w:r>
      <w:bookmarkStart w:id="2" w:name="_GoBack"/>
      <w:bookmarkEnd w:id="2"/>
      <w:r>
        <w:rPr>
          <w:rFonts w:hint="eastAsia" w:ascii="黑体" w:eastAsia="黑体"/>
          <w:sz w:val="52"/>
          <w:szCs w:val="52"/>
        </w:rPr>
        <w:t>度单位决算情况说明</w:t>
      </w: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一、2020年度收入支出决算情况说明</w:t>
      </w:r>
    </w:p>
    <w:p>
      <w:pPr>
        <w:spacing w:line="560" w:lineRule="exact"/>
        <w:ind w:firstLine="632" w:firstLineChars="200"/>
        <w:rPr>
          <w:rFonts w:hint="eastAsia" w:ascii="楷体_GB2312" w:eastAsia="楷体_GB2312"/>
          <w:sz w:val="32"/>
          <w:szCs w:val="32"/>
        </w:rPr>
      </w:pPr>
      <w:r>
        <w:rPr>
          <w:rFonts w:hint="eastAsia" w:ascii="楷体_GB2312" w:eastAsia="楷体_GB2312"/>
          <w:sz w:val="32"/>
          <w:szCs w:val="32"/>
        </w:rPr>
        <w:t>（一）收入支出决算总体情况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2020年度收、支总计</w:t>
      </w:r>
      <w:r>
        <w:rPr>
          <w:rFonts w:ascii="仿宋_GB2312" w:eastAsia="仿宋_GB2312"/>
          <w:sz w:val="32"/>
          <w:szCs w:val="32"/>
        </w:rPr>
        <w:t>1462.98</w:t>
      </w:r>
      <w:r>
        <w:rPr>
          <w:rFonts w:hint="eastAsia" w:ascii="仿宋_GB2312" w:eastAsia="仿宋_GB2312"/>
          <w:sz w:val="32"/>
          <w:szCs w:val="32"/>
        </w:rPr>
        <w:t>万元。与2019年度相比，收、支总计各减少4</w:t>
      </w:r>
      <w:r>
        <w:rPr>
          <w:rFonts w:ascii="仿宋_GB2312" w:eastAsia="仿宋_GB2312"/>
          <w:sz w:val="32"/>
          <w:szCs w:val="32"/>
        </w:rPr>
        <w:t>27.82</w:t>
      </w:r>
      <w:r>
        <w:rPr>
          <w:rFonts w:hint="eastAsia" w:ascii="仿宋_GB2312" w:eastAsia="仿宋_GB2312"/>
          <w:sz w:val="32"/>
          <w:szCs w:val="32"/>
        </w:rPr>
        <w:t>万元，下降2</w:t>
      </w:r>
      <w:r>
        <w:rPr>
          <w:rFonts w:ascii="仿宋_GB2312" w:eastAsia="仿宋_GB2312"/>
          <w:sz w:val="32"/>
          <w:szCs w:val="32"/>
        </w:rPr>
        <w:t>2.6</w:t>
      </w:r>
      <w:r>
        <w:rPr>
          <w:rFonts w:hint="eastAsia" w:ascii="仿宋_GB2312" w:eastAsia="仿宋_GB2312"/>
          <w:sz w:val="32"/>
          <w:szCs w:val="32"/>
          <w:lang w:val="en-US" w:eastAsia="zh-CN"/>
        </w:rPr>
        <w:t>3</w:t>
      </w:r>
      <w:r>
        <w:rPr>
          <w:rFonts w:hint="eastAsia" w:ascii="仿宋_GB2312" w:eastAsia="仿宋_GB2312"/>
          <w:sz w:val="32"/>
          <w:szCs w:val="32"/>
        </w:rPr>
        <w:t>%。主要是2</w:t>
      </w:r>
      <w:r>
        <w:rPr>
          <w:rFonts w:ascii="仿宋_GB2312" w:eastAsia="仿宋_GB2312"/>
          <w:sz w:val="32"/>
          <w:szCs w:val="32"/>
        </w:rPr>
        <w:t>019</w:t>
      </w:r>
      <w:r>
        <w:rPr>
          <w:rFonts w:hint="eastAsia" w:ascii="仿宋_GB2312" w:eastAsia="仿宋_GB2312"/>
          <w:sz w:val="32"/>
          <w:szCs w:val="32"/>
        </w:rPr>
        <w:t>年承接青岛国家标准化论坛会议服务任务，收到会展业专项经费6</w:t>
      </w:r>
      <w:r>
        <w:rPr>
          <w:rFonts w:ascii="仿宋_GB2312" w:eastAsia="仿宋_GB2312"/>
          <w:sz w:val="32"/>
          <w:szCs w:val="32"/>
        </w:rPr>
        <w:t>15.72</w:t>
      </w:r>
      <w:r>
        <w:rPr>
          <w:rFonts w:hint="eastAsia" w:ascii="仿宋_GB2312" w:eastAsia="仿宋_GB2312"/>
          <w:sz w:val="32"/>
          <w:szCs w:val="32"/>
        </w:rPr>
        <w:t>万元，2</w:t>
      </w:r>
      <w:r>
        <w:rPr>
          <w:rFonts w:ascii="仿宋_GB2312" w:eastAsia="仿宋_GB2312"/>
          <w:sz w:val="32"/>
          <w:szCs w:val="32"/>
        </w:rPr>
        <w:t>020</w:t>
      </w:r>
      <w:r>
        <w:rPr>
          <w:rFonts w:hint="eastAsia" w:ascii="仿宋_GB2312" w:eastAsia="仿宋_GB2312"/>
          <w:sz w:val="32"/>
          <w:szCs w:val="32"/>
        </w:rPr>
        <w:t>年无此项支出。</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（二）收入决算情况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本年收入合计</w:t>
      </w:r>
      <w:r>
        <w:rPr>
          <w:rFonts w:ascii="仿宋_GB2312" w:eastAsia="仿宋_GB2312"/>
          <w:sz w:val="32"/>
          <w:szCs w:val="32"/>
        </w:rPr>
        <w:t>1299.74</w:t>
      </w:r>
      <w:r>
        <w:rPr>
          <w:rFonts w:hint="eastAsia" w:ascii="仿宋_GB2312" w:eastAsia="仿宋_GB2312"/>
          <w:sz w:val="32"/>
          <w:szCs w:val="32"/>
        </w:rPr>
        <w:t>万元，其中：财政拨款收入</w:t>
      </w:r>
      <w:r>
        <w:rPr>
          <w:rFonts w:ascii="仿宋_GB2312" w:eastAsia="仿宋_GB2312"/>
          <w:sz w:val="32"/>
          <w:szCs w:val="32"/>
        </w:rPr>
        <w:t>748.21</w:t>
      </w:r>
      <w:r>
        <w:rPr>
          <w:rFonts w:hint="eastAsia" w:ascii="仿宋_GB2312" w:eastAsia="仿宋_GB2312"/>
          <w:sz w:val="32"/>
          <w:szCs w:val="32"/>
        </w:rPr>
        <w:t>万元，占5</w:t>
      </w:r>
      <w:r>
        <w:rPr>
          <w:rFonts w:ascii="仿宋_GB2312" w:eastAsia="仿宋_GB2312"/>
          <w:sz w:val="32"/>
          <w:szCs w:val="32"/>
        </w:rPr>
        <w:t>7.57</w:t>
      </w:r>
      <w:r>
        <w:rPr>
          <w:rFonts w:hint="eastAsia" w:ascii="仿宋_GB2312" w:eastAsia="仿宋_GB2312"/>
          <w:sz w:val="32"/>
          <w:szCs w:val="32"/>
        </w:rPr>
        <w:t>%；上级补助收入</w:t>
      </w:r>
      <w:r>
        <w:rPr>
          <w:rFonts w:ascii="仿宋_GB2312" w:eastAsia="仿宋_GB2312"/>
          <w:sz w:val="32"/>
          <w:szCs w:val="32"/>
        </w:rPr>
        <w:t>250.60</w:t>
      </w:r>
      <w:r>
        <w:rPr>
          <w:rFonts w:hint="eastAsia" w:ascii="仿宋_GB2312" w:eastAsia="仿宋_GB2312"/>
          <w:sz w:val="32"/>
          <w:szCs w:val="32"/>
        </w:rPr>
        <w:t>万元，占1</w:t>
      </w:r>
      <w:r>
        <w:rPr>
          <w:rFonts w:ascii="仿宋_GB2312" w:eastAsia="仿宋_GB2312"/>
          <w:sz w:val="32"/>
          <w:szCs w:val="32"/>
        </w:rPr>
        <w:t>9.28</w:t>
      </w:r>
      <w:r>
        <w:rPr>
          <w:rFonts w:hint="eastAsia" w:ascii="仿宋_GB2312" w:eastAsia="仿宋_GB2312"/>
          <w:sz w:val="32"/>
          <w:szCs w:val="32"/>
        </w:rPr>
        <w:t>%；经营收入2</w:t>
      </w:r>
      <w:r>
        <w:rPr>
          <w:rFonts w:ascii="仿宋_GB2312" w:eastAsia="仿宋_GB2312"/>
          <w:sz w:val="32"/>
          <w:szCs w:val="32"/>
        </w:rPr>
        <w:t>94.86</w:t>
      </w:r>
      <w:r>
        <w:rPr>
          <w:rFonts w:hint="eastAsia" w:ascii="仿宋_GB2312" w:eastAsia="仿宋_GB2312"/>
          <w:sz w:val="32"/>
          <w:szCs w:val="32"/>
        </w:rPr>
        <w:t>万元，占2</w:t>
      </w:r>
      <w:r>
        <w:rPr>
          <w:rFonts w:ascii="仿宋_GB2312" w:eastAsia="仿宋_GB2312"/>
          <w:sz w:val="32"/>
          <w:szCs w:val="32"/>
        </w:rPr>
        <w:t>2.69</w:t>
      </w:r>
      <w:r>
        <w:rPr>
          <w:rFonts w:hint="eastAsia" w:ascii="仿宋_GB2312" w:eastAsia="仿宋_GB2312"/>
          <w:sz w:val="32"/>
          <w:szCs w:val="32"/>
        </w:rPr>
        <w:t>%；其他收入</w:t>
      </w:r>
      <w:r>
        <w:rPr>
          <w:rFonts w:ascii="仿宋_GB2312" w:eastAsia="仿宋_GB2312"/>
          <w:sz w:val="32"/>
          <w:szCs w:val="32"/>
        </w:rPr>
        <w:t>6.07</w:t>
      </w:r>
      <w:r>
        <w:rPr>
          <w:rFonts w:hint="eastAsia" w:ascii="仿宋_GB2312" w:eastAsia="仿宋_GB2312"/>
          <w:sz w:val="32"/>
          <w:szCs w:val="32"/>
        </w:rPr>
        <w:t>万元，占0</w:t>
      </w:r>
      <w:r>
        <w:rPr>
          <w:rFonts w:ascii="仿宋_GB2312" w:eastAsia="仿宋_GB2312"/>
          <w:sz w:val="32"/>
          <w:szCs w:val="32"/>
        </w:rPr>
        <w:t>.46</w:t>
      </w:r>
      <w:r>
        <w:rPr>
          <w:rFonts w:hint="eastAsia" w:ascii="仿宋_GB2312" w:eastAsia="仿宋_GB2312"/>
          <w:sz w:val="32"/>
          <w:szCs w:val="32"/>
        </w:rPr>
        <w:t>%。</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（三）支出决算情况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本年支出合计</w:t>
      </w:r>
      <w:r>
        <w:rPr>
          <w:rFonts w:ascii="仿宋_GB2312" w:eastAsia="仿宋_GB2312"/>
          <w:sz w:val="32"/>
          <w:szCs w:val="32"/>
        </w:rPr>
        <w:t>1231.25</w:t>
      </w:r>
      <w:r>
        <w:rPr>
          <w:rFonts w:hint="eastAsia" w:ascii="仿宋_GB2312" w:eastAsia="仿宋_GB2312"/>
          <w:sz w:val="32"/>
          <w:szCs w:val="32"/>
        </w:rPr>
        <w:t>万元，其中：基本支出</w:t>
      </w:r>
      <w:r>
        <w:rPr>
          <w:rFonts w:ascii="仿宋_GB2312" w:eastAsia="仿宋_GB2312"/>
          <w:sz w:val="32"/>
          <w:szCs w:val="32"/>
        </w:rPr>
        <w:t>590.21</w:t>
      </w:r>
      <w:r>
        <w:rPr>
          <w:rFonts w:hint="eastAsia" w:ascii="仿宋_GB2312" w:eastAsia="仿宋_GB2312"/>
          <w:sz w:val="32"/>
          <w:szCs w:val="32"/>
        </w:rPr>
        <w:t>万元，占</w:t>
      </w:r>
      <w:r>
        <w:rPr>
          <w:rFonts w:ascii="仿宋_GB2312" w:eastAsia="仿宋_GB2312"/>
          <w:sz w:val="32"/>
          <w:szCs w:val="32"/>
        </w:rPr>
        <w:t>47.94</w:t>
      </w:r>
      <w:r>
        <w:rPr>
          <w:rFonts w:hint="eastAsia" w:ascii="仿宋_GB2312" w:eastAsia="仿宋_GB2312"/>
          <w:sz w:val="32"/>
          <w:szCs w:val="32"/>
        </w:rPr>
        <w:t>%；项目支出</w:t>
      </w:r>
      <w:r>
        <w:rPr>
          <w:rFonts w:ascii="仿宋_GB2312" w:eastAsia="仿宋_GB2312"/>
          <w:sz w:val="32"/>
          <w:szCs w:val="32"/>
        </w:rPr>
        <w:t>363.83</w:t>
      </w:r>
      <w:r>
        <w:rPr>
          <w:rFonts w:hint="eastAsia" w:ascii="仿宋_GB2312" w:eastAsia="仿宋_GB2312"/>
          <w:sz w:val="32"/>
          <w:szCs w:val="32"/>
        </w:rPr>
        <w:t>万元，占</w:t>
      </w:r>
      <w:r>
        <w:rPr>
          <w:rFonts w:ascii="仿宋_GB2312" w:eastAsia="仿宋_GB2312"/>
          <w:sz w:val="32"/>
          <w:szCs w:val="32"/>
        </w:rPr>
        <w:t>29.55</w:t>
      </w:r>
      <w:r>
        <w:rPr>
          <w:rFonts w:hint="eastAsia" w:ascii="仿宋_GB2312" w:eastAsia="仿宋_GB2312"/>
          <w:sz w:val="32"/>
          <w:szCs w:val="32"/>
        </w:rPr>
        <w:t>%；经营支出</w:t>
      </w:r>
      <w:r>
        <w:rPr>
          <w:rFonts w:ascii="仿宋_GB2312" w:eastAsia="仿宋_GB2312"/>
          <w:sz w:val="32"/>
          <w:szCs w:val="32"/>
        </w:rPr>
        <w:t>277.21</w:t>
      </w:r>
      <w:r>
        <w:rPr>
          <w:rFonts w:hint="eastAsia" w:ascii="仿宋_GB2312" w:eastAsia="仿宋_GB2312"/>
          <w:sz w:val="32"/>
          <w:szCs w:val="32"/>
        </w:rPr>
        <w:t>万元，占2</w:t>
      </w:r>
      <w:r>
        <w:rPr>
          <w:rFonts w:ascii="仿宋_GB2312" w:eastAsia="仿宋_GB2312"/>
          <w:sz w:val="32"/>
          <w:szCs w:val="32"/>
        </w:rPr>
        <w:t>2.51</w:t>
      </w:r>
      <w:r>
        <w:rPr>
          <w:rFonts w:hint="eastAsia" w:ascii="仿宋_GB2312" w:eastAsia="仿宋_GB2312"/>
          <w:sz w:val="32"/>
          <w:szCs w:val="32"/>
        </w:rPr>
        <w:t>%。</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（四）财政拨款收入支出决算总体情况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2020年度财政拨款收、支总计</w:t>
      </w:r>
      <w:r>
        <w:rPr>
          <w:rFonts w:ascii="仿宋_GB2312" w:eastAsia="仿宋_GB2312"/>
          <w:sz w:val="32"/>
          <w:szCs w:val="32"/>
        </w:rPr>
        <w:t>748.21</w:t>
      </w:r>
      <w:r>
        <w:rPr>
          <w:rFonts w:hint="eastAsia" w:ascii="仿宋_GB2312" w:eastAsia="仿宋_GB2312"/>
          <w:sz w:val="32"/>
          <w:szCs w:val="32"/>
        </w:rPr>
        <w:t>万元。与2019年度相比，财政拨款收、支总计各减少5</w:t>
      </w:r>
      <w:r>
        <w:rPr>
          <w:rFonts w:ascii="仿宋_GB2312" w:eastAsia="仿宋_GB2312"/>
          <w:sz w:val="32"/>
          <w:szCs w:val="32"/>
        </w:rPr>
        <w:t>72.42</w:t>
      </w:r>
      <w:r>
        <w:rPr>
          <w:rFonts w:hint="eastAsia" w:ascii="仿宋_GB2312" w:eastAsia="仿宋_GB2312"/>
          <w:sz w:val="32"/>
          <w:szCs w:val="32"/>
        </w:rPr>
        <w:t>万元，下降4</w:t>
      </w:r>
      <w:r>
        <w:rPr>
          <w:rFonts w:ascii="仿宋_GB2312" w:eastAsia="仿宋_GB2312"/>
          <w:sz w:val="32"/>
          <w:szCs w:val="32"/>
        </w:rPr>
        <w:t>3.34</w:t>
      </w:r>
      <w:r>
        <w:rPr>
          <w:rFonts w:hint="eastAsia" w:ascii="仿宋_GB2312" w:eastAsia="仿宋_GB2312"/>
          <w:sz w:val="32"/>
          <w:szCs w:val="32"/>
        </w:rPr>
        <w:t>%。主要是2</w:t>
      </w:r>
      <w:r>
        <w:rPr>
          <w:rFonts w:ascii="仿宋_GB2312" w:eastAsia="仿宋_GB2312"/>
          <w:sz w:val="32"/>
          <w:szCs w:val="32"/>
        </w:rPr>
        <w:t>019</w:t>
      </w:r>
      <w:r>
        <w:rPr>
          <w:rFonts w:hint="eastAsia" w:ascii="仿宋_GB2312" w:eastAsia="仿宋_GB2312"/>
          <w:sz w:val="32"/>
          <w:szCs w:val="32"/>
        </w:rPr>
        <w:t>年承接青岛国家标准化论坛会议服务任务，收到会展业专项经费6</w:t>
      </w:r>
      <w:r>
        <w:rPr>
          <w:rFonts w:ascii="仿宋_GB2312" w:eastAsia="仿宋_GB2312"/>
          <w:sz w:val="32"/>
          <w:szCs w:val="32"/>
        </w:rPr>
        <w:t>15.72</w:t>
      </w:r>
      <w:r>
        <w:rPr>
          <w:rFonts w:hint="eastAsia" w:ascii="仿宋_GB2312" w:eastAsia="仿宋_GB2312"/>
          <w:sz w:val="32"/>
          <w:szCs w:val="32"/>
        </w:rPr>
        <w:t>万元，2</w:t>
      </w:r>
      <w:r>
        <w:rPr>
          <w:rFonts w:ascii="仿宋_GB2312" w:eastAsia="仿宋_GB2312"/>
          <w:sz w:val="32"/>
          <w:szCs w:val="32"/>
        </w:rPr>
        <w:t>020</w:t>
      </w:r>
      <w:r>
        <w:rPr>
          <w:rFonts w:hint="eastAsia" w:ascii="仿宋_GB2312" w:eastAsia="仿宋_GB2312"/>
          <w:sz w:val="32"/>
          <w:szCs w:val="32"/>
        </w:rPr>
        <w:t>年无此项支出。</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（五）一般公共预算财政拨款支出决算情况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1.一般公共预算财政拨款支出决算总体情况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2020年度一般公共预算财政拨款支出</w:t>
      </w:r>
      <w:r>
        <w:rPr>
          <w:rFonts w:ascii="仿宋_GB2312" w:eastAsia="仿宋_GB2312"/>
          <w:sz w:val="32"/>
          <w:szCs w:val="32"/>
        </w:rPr>
        <w:t>748.21</w:t>
      </w:r>
      <w:r>
        <w:rPr>
          <w:rFonts w:hint="eastAsia" w:ascii="仿宋_GB2312" w:eastAsia="仿宋_GB2312"/>
          <w:sz w:val="32"/>
          <w:szCs w:val="32"/>
        </w:rPr>
        <w:t>万元，占本年支出合计的</w:t>
      </w:r>
      <w:r>
        <w:rPr>
          <w:rFonts w:ascii="仿宋_GB2312" w:eastAsia="仿宋_GB2312"/>
          <w:sz w:val="32"/>
          <w:szCs w:val="32"/>
        </w:rPr>
        <w:t>60.77</w:t>
      </w:r>
      <w:r>
        <w:rPr>
          <w:rFonts w:hint="eastAsia" w:ascii="仿宋_GB2312" w:eastAsia="仿宋_GB2312"/>
          <w:sz w:val="32"/>
          <w:szCs w:val="32"/>
        </w:rPr>
        <w:t>%。与2019年度相比，一般公共预算财政拨款支出减少5</w:t>
      </w:r>
      <w:r>
        <w:rPr>
          <w:rFonts w:ascii="仿宋_GB2312" w:eastAsia="仿宋_GB2312"/>
          <w:sz w:val="32"/>
          <w:szCs w:val="32"/>
        </w:rPr>
        <w:t>72.42</w:t>
      </w:r>
      <w:r>
        <w:rPr>
          <w:rFonts w:hint="eastAsia" w:ascii="仿宋_GB2312" w:eastAsia="仿宋_GB2312"/>
          <w:sz w:val="32"/>
          <w:szCs w:val="32"/>
        </w:rPr>
        <w:t>万元，下降4</w:t>
      </w:r>
      <w:r>
        <w:rPr>
          <w:rFonts w:ascii="仿宋_GB2312" w:eastAsia="仿宋_GB2312"/>
          <w:sz w:val="32"/>
          <w:szCs w:val="32"/>
        </w:rPr>
        <w:t>3.34</w:t>
      </w:r>
      <w:r>
        <w:rPr>
          <w:rFonts w:hint="eastAsia" w:ascii="仿宋_GB2312" w:eastAsia="仿宋_GB2312"/>
          <w:sz w:val="32"/>
          <w:szCs w:val="32"/>
        </w:rPr>
        <w:t xml:space="preserve"> %。主要是2</w:t>
      </w:r>
      <w:r>
        <w:rPr>
          <w:rFonts w:ascii="仿宋_GB2312" w:eastAsia="仿宋_GB2312"/>
          <w:sz w:val="32"/>
          <w:szCs w:val="32"/>
        </w:rPr>
        <w:t>019</w:t>
      </w:r>
      <w:r>
        <w:rPr>
          <w:rFonts w:hint="eastAsia" w:ascii="仿宋_GB2312" w:eastAsia="仿宋_GB2312"/>
          <w:sz w:val="32"/>
          <w:szCs w:val="32"/>
        </w:rPr>
        <w:t>年承接青岛国家标准化论坛会议服务任务，收到会展业专项经费6</w:t>
      </w:r>
      <w:r>
        <w:rPr>
          <w:rFonts w:ascii="仿宋_GB2312" w:eastAsia="仿宋_GB2312"/>
          <w:sz w:val="32"/>
          <w:szCs w:val="32"/>
        </w:rPr>
        <w:t>15.72</w:t>
      </w:r>
      <w:r>
        <w:rPr>
          <w:rFonts w:hint="eastAsia" w:ascii="仿宋_GB2312" w:eastAsia="仿宋_GB2312"/>
          <w:sz w:val="32"/>
          <w:szCs w:val="32"/>
        </w:rPr>
        <w:t>万元，2</w:t>
      </w:r>
      <w:r>
        <w:rPr>
          <w:rFonts w:ascii="仿宋_GB2312" w:eastAsia="仿宋_GB2312"/>
          <w:sz w:val="32"/>
          <w:szCs w:val="32"/>
        </w:rPr>
        <w:t>020</w:t>
      </w:r>
      <w:r>
        <w:rPr>
          <w:rFonts w:hint="eastAsia" w:ascii="仿宋_GB2312" w:eastAsia="仿宋_GB2312"/>
          <w:sz w:val="32"/>
          <w:szCs w:val="32"/>
        </w:rPr>
        <w:t>年无此项支出。</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2.一般公共预算财政拨款支出决算结构情况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2020年度一般公共预算财政拨款支出7</w:t>
      </w:r>
      <w:r>
        <w:rPr>
          <w:rFonts w:ascii="仿宋_GB2312" w:eastAsia="仿宋_GB2312"/>
          <w:sz w:val="32"/>
          <w:szCs w:val="32"/>
        </w:rPr>
        <w:t>48.21</w:t>
      </w:r>
      <w:r>
        <w:rPr>
          <w:rFonts w:hint="eastAsia" w:ascii="仿宋_GB2312" w:eastAsia="仿宋_GB2312"/>
          <w:sz w:val="32"/>
          <w:szCs w:val="32"/>
        </w:rPr>
        <w:t>万元，主要用于以下方面：一般公共服务支出6</w:t>
      </w:r>
      <w:r>
        <w:rPr>
          <w:rFonts w:ascii="仿宋_GB2312" w:eastAsia="仿宋_GB2312"/>
          <w:sz w:val="32"/>
          <w:szCs w:val="32"/>
        </w:rPr>
        <w:t>53.35</w:t>
      </w:r>
      <w:r>
        <w:rPr>
          <w:rFonts w:hint="eastAsia" w:ascii="仿宋_GB2312" w:eastAsia="仿宋_GB2312"/>
          <w:sz w:val="32"/>
          <w:szCs w:val="32"/>
        </w:rPr>
        <w:t>万元，占8</w:t>
      </w:r>
      <w:r>
        <w:rPr>
          <w:rFonts w:ascii="仿宋_GB2312" w:eastAsia="仿宋_GB2312"/>
          <w:sz w:val="32"/>
          <w:szCs w:val="32"/>
        </w:rPr>
        <w:t>7.32</w:t>
      </w:r>
      <w:r>
        <w:rPr>
          <w:rFonts w:hint="eastAsia" w:ascii="仿宋_GB2312" w:eastAsia="仿宋_GB2312"/>
          <w:sz w:val="32"/>
          <w:szCs w:val="32"/>
        </w:rPr>
        <w:t>%；社会保障和就业支出6</w:t>
      </w:r>
      <w:r>
        <w:rPr>
          <w:rFonts w:ascii="仿宋_GB2312" w:eastAsia="仿宋_GB2312"/>
          <w:sz w:val="32"/>
          <w:szCs w:val="32"/>
        </w:rPr>
        <w:t>3.18</w:t>
      </w:r>
      <w:r>
        <w:rPr>
          <w:rFonts w:hint="eastAsia" w:ascii="仿宋_GB2312" w:eastAsia="仿宋_GB2312"/>
          <w:sz w:val="32"/>
          <w:szCs w:val="32"/>
        </w:rPr>
        <w:t>万元，占</w:t>
      </w:r>
      <w:r>
        <w:rPr>
          <w:rFonts w:ascii="仿宋_GB2312" w:eastAsia="仿宋_GB2312"/>
          <w:sz w:val="32"/>
          <w:szCs w:val="32"/>
        </w:rPr>
        <w:t>8.45</w:t>
      </w:r>
      <w:r>
        <w:rPr>
          <w:rFonts w:hint="eastAsia" w:ascii="仿宋_GB2312" w:eastAsia="仿宋_GB2312"/>
          <w:sz w:val="32"/>
          <w:szCs w:val="32"/>
        </w:rPr>
        <w:t>%；住房保障支出3</w:t>
      </w:r>
      <w:r>
        <w:rPr>
          <w:rFonts w:ascii="仿宋_GB2312" w:eastAsia="仿宋_GB2312"/>
          <w:sz w:val="32"/>
          <w:szCs w:val="32"/>
        </w:rPr>
        <w:t>1.68</w:t>
      </w:r>
      <w:r>
        <w:rPr>
          <w:rFonts w:hint="eastAsia" w:ascii="仿宋_GB2312" w:eastAsia="仿宋_GB2312"/>
          <w:sz w:val="32"/>
          <w:szCs w:val="32"/>
        </w:rPr>
        <w:t>万元，占4</w:t>
      </w:r>
      <w:r>
        <w:rPr>
          <w:rFonts w:ascii="仿宋_GB2312" w:eastAsia="仿宋_GB2312"/>
          <w:sz w:val="32"/>
          <w:szCs w:val="32"/>
        </w:rPr>
        <w:t>.23</w:t>
      </w:r>
      <w:r>
        <w:rPr>
          <w:rFonts w:hint="eastAsia" w:ascii="仿宋_GB2312" w:eastAsia="仿宋_GB2312"/>
          <w:sz w:val="32"/>
          <w:szCs w:val="32"/>
        </w:rPr>
        <w:t>%。</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3.一般公共预算财政拨款支出决算具体情况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2020年度一般公共预算财政拨款支出年初预算为</w:t>
      </w:r>
      <w:r>
        <w:rPr>
          <w:rFonts w:ascii="仿宋_GB2312" w:eastAsia="仿宋_GB2312"/>
          <w:sz w:val="32"/>
          <w:szCs w:val="32"/>
        </w:rPr>
        <w:t>660.02</w:t>
      </w:r>
      <w:r>
        <w:rPr>
          <w:rFonts w:hint="eastAsia" w:ascii="仿宋_GB2312" w:eastAsia="仿宋_GB2312"/>
          <w:sz w:val="32"/>
          <w:szCs w:val="32"/>
        </w:rPr>
        <w:t>万元，支出决算为</w:t>
      </w:r>
      <w:r>
        <w:rPr>
          <w:rFonts w:ascii="仿宋_GB2312" w:eastAsia="仿宋_GB2312"/>
          <w:sz w:val="32"/>
          <w:szCs w:val="32"/>
        </w:rPr>
        <w:t>748.21</w:t>
      </w:r>
      <w:r>
        <w:rPr>
          <w:rFonts w:hint="eastAsia" w:ascii="仿宋_GB2312" w:eastAsia="仿宋_GB2312"/>
          <w:sz w:val="32"/>
          <w:szCs w:val="32"/>
        </w:rPr>
        <w:t>万元，完成年初预算的</w:t>
      </w:r>
      <w:r>
        <w:rPr>
          <w:rFonts w:ascii="仿宋_GB2312" w:eastAsia="仿宋_GB2312"/>
          <w:sz w:val="32"/>
          <w:szCs w:val="32"/>
        </w:rPr>
        <w:t>113.36</w:t>
      </w:r>
      <w:r>
        <w:rPr>
          <w:rFonts w:hint="eastAsia" w:ascii="仿宋_GB2312" w:eastAsia="仿宋_GB2312"/>
          <w:sz w:val="32"/>
          <w:szCs w:val="32"/>
        </w:rPr>
        <w:t>%。决算数大于年初预算数的主要原因新增绩效考核奖等。其中：</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（1）一般公共服务支出（类）市场监督管理事务（款）事业运行（项）。年初预算为</w:t>
      </w:r>
      <w:r>
        <w:rPr>
          <w:rFonts w:ascii="仿宋_GB2312" w:eastAsia="仿宋_GB2312"/>
          <w:sz w:val="32"/>
          <w:szCs w:val="32"/>
        </w:rPr>
        <w:t>565.16</w:t>
      </w:r>
      <w:r>
        <w:rPr>
          <w:rFonts w:hint="eastAsia" w:ascii="仿宋_GB2312" w:eastAsia="仿宋_GB2312"/>
          <w:sz w:val="32"/>
          <w:szCs w:val="32"/>
        </w:rPr>
        <w:t>万元，支出决算为</w:t>
      </w:r>
      <w:r>
        <w:rPr>
          <w:rFonts w:ascii="仿宋_GB2312" w:eastAsia="仿宋_GB2312"/>
          <w:sz w:val="32"/>
          <w:szCs w:val="32"/>
        </w:rPr>
        <w:t>653.35</w:t>
      </w:r>
      <w:r>
        <w:rPr>
          <w:rFonts w:hint="eastAsia" w:ascii="仿宋_GB2312" w:eastAsia="仿宋_GB2312"/>
          <w:sz w:val="32"/>
          <w:szCs w:val="32"/>
        </w:rPr>
        <w:t>万元，完成年初预算的</w:t>
      </w:r>
      <w:r>
        <w:rPr>
          <w:rFonts w:ascii="仿宋_GB2312" w:eastAsia="仿宋_GB2312"/>
          <w:sz w:val="32"/>
          <w:szCs w:val="32"/>
        </w:rPr>
        <w:t>115.60</w:t>
      </w:r>
      <w:r>
        <w:rPr>
          <w:rFonts w:hint="eastAsia" w:ascii="仿宋_GB2312" w:eastAsia="仿宋_GB2312"/>
          <w:sz w:val="32"/>
          <w:szCs w:val="32"/>
        </w:rPr>
        <w:t>%。决算数大于年初预算数主要原因是新增绩效考核奖等。</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（2）社会保障和就业支出（类）行政事业单位养老支出（款）机关事业单位基本养老保险缴费支出（项）。年初预算为</w:t>
      </w:r>
      <w:r>
        <w:rPr>
          <w:rFonts w:ascii="仿宋_GB2312" w:eastAsia="仿宋_GB2312"/>
          <w:sz w:val="32"/>
          <w:szCs w:val="32"/>
        </w:rPr>
        <w:t>42.12</w:t>
      </w:r>
      <w:r>
        <w:rPr>
          <w:rFonts w:hint="eastAsia" w:ascii="仿宋_GB2312" w:eastAsia="仿宋_GB2312"/>
          <w:sz w:val="32"/>
          <w:szCs w:val="32"/>
        </w:rPr>
        <w:t>万元，支出决算为</w:t>
      </w:r>
      <w:r>
        <w:rPr>
          <w:rFonts w:ascii="仿宋_GB2312" w:eastAsia="仿宋_GB2312"/>
          <w:sz w:val="32"/>
          <w:szCs w:val="32"/>
        </w:rPr>
        <w:t>42.12</w:t>
      </w:r>
      <w:r>
        <w:rPr>
          <w:rFonts w:hint="eastAsia" w:ascii="仿宋_GB2312" w:eastAsia="仿宋_GB2312"/>
          <w:sz w:val="32"/>
          <w:szCs w:val="32"/>
        </w:rPr>
        <w:t>万元，完成年初预算的</w:t>
      </w:r>
      <w:r>
        <w:rPr>
          <w:rFonts w:ascii="仿宋_GB2312" w:eastAsia="仿宋_GB2312"/>
          <w:sz w:val="32"/>
          <w:szCs w:val="32"/>
        </w:rPr>
        <w:t>100</w:t>
      </w:r>
      <w:r>
        <w:rPr>
          <w:rFonts w:hint="eastAsia" w:ascii="仿宋_GB2312" w:eastAsia="仿宋_GB2312"/>
          <w:sz w:val="32"/>
          <w:szCs w:val="32"/>
        </w:rPr>
        <w:t>%。决算数与年初预算基本持平。</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）社会保障和就业支出（类）行政事业单位养老支出（款）机关事业单位职业年金缴费支出（项）。年初预算为</w:t>
      </w:r>
      <w:r>
        <w:rPr>
          <w:rFonts w:ascii="仿宋_GB2312" w:eastAsia="仿宋_GB2312"/>
          <w:sz w:val="32"/>
          <w:szCs w:val="32"/>
        </w:rPr>
        <w:t>21.06</w:t>
      </w:r>
      <w:r>
        <w:rPr>
          <w:rFonts w:hint="eastAsia" w:ascii="仿宋_GB2312" w:eastAsia="仿宋_GB2312"/>
          <w:sz w:val="32"/>
          <w:szCs w:val="32"/>
        </w:rPr>
        <w:t>万元，支出决算为</w:t>
      </w:r>
      <w:r>
        <w:rPr>
          <w:rFonts w:ascii="仿宋_GB2312" w:eastAsia="仿宋_GB2312"/>
          <w:sz w:val="32"/>
          <w:szCs w:val="32"/>
        </w:rPr>
        <w:t>21.06</w:t>
      </w:r>
      <w:r>
        <w:rPr>
          <w:rFonts w:hint="eastAsia" w:ascii="仿宋_GB2312" w:eastAsia="仿宋_GB2312"/>
          <w:sz w:val="32"/>
          <w:szCs w:val="32"/>
        </w:rPr>
        <w:t>万元，完成年初预算的</w:t>
      </w:r>
      <w:r>
        <w:rPr>
          <w:rFonts w:ascii="仿宋_GB2312" w:eastAsia="仿宋_GB2312"/>
          <w:sz w:val="32"/>
          <w:szCs w:val="32"/>
        </w:rPr>
        <w:t>100</w:t>
      </w:r>
      <w:r>
        <w:rPr>
          <w:rFonts w:hint="eastAsia" w:ascii="仿宋_GB2312" w:eastAsia="仿宋_GB2312"/>
          <w:sz w:val="32"/>
          <w:szCs w:val="32"/>
        </w:rPr>
        <w:t>%。决算数与年初预算基本持平。</w:t>
      </w:r>
    </w:p>
    <w:p>
      <w:pPr>
        <w:spacing w:line="560" w:lineRule="exact"/>
        <w:ind w:firstLine="632" w:firstLineChars="200"/>
        <w:rPr>
          <w:rFonts w:ascii="仿宋_GB2312" w:eastAsia="仿宋_GB2312"/>
          <w:sz w:val="32"/>
          <w:szCs w:val="32"/>
        </w:rPr>
      </w:pPr>
      <w:r>
        <w:rPr>
          <w:rFonts w:hint="eastAsia" w:ascii="仿宋_GB2312" w:eastAsia="仿宋_GB2312" w:cs="FangSong_GB2312-Identity-H"/>
          <w:bCs/>
          <w:kern w:val="0"/>
          <w:sz w:val="32"/>
          <w:szCs w:val="32"/>
        </w:rPr>
        <w:t>（4）住房保障支出（类）</w:t>
      </w:r>
      <w:r>
        <w:rPr>
          <w:rFonts w:hint="eastAsia" w:ascii="仿宋_GB2312" w:eastAsia="仿宋_GB2312" w:cs="FangSong_GB2312-Identity-H"/>
          <w:kern w:val="0"/>
          <w:sz w:val="32"/>
          <w:szCs w:val="32"/>
        </w:rPr>
        <w:t>住房改革支出（款）住房公积金（项）。</w:t>
      </w:r>
      <w:r>
        <w:rPr>
          <w:rFonts w:hint="eastAsia" w:ascii="仿宋_GB2312" w:eastAsia="仿宋_GB2312"/>
          <w:sz w:val="32"/>
          <w:szCs w:val="32"/>
        </w:rPr>
        <w:t>年初预算为</w:t>
      </w:r>
      <w:r>
        <w:rPr>
          <w:rFonts w:ascii="仿宋_GB2312" w:eastAsia="仿宋_GB2312"/>
          <w:sz w:val="32"/>
          <w:szCs w:val="32"/>
        </w:rPr>
        <w:t>31.68</w:t>
      </w:r>
      <w:r>
        <w:rPr>
          <w:rFonts w:hint="eastAsia" w:ascii="仿宋_GB2312" w:eastAsia="仿宋_GB2312"/>
          <w:sz w:val="32"/>
          <w:szCs w:val="32"/>
        </w:rPr>
        <w:t>万元，支出决算为</w:t>
      </w:r>
      <w:r>
        <w:rPr>
          <w:rFonts w:ascii="仿宋_GB2312" w:eastAsia="仿宋_GB2312"/>
          <w:sz w:val="32"/>
          <w:szCs w:val="32"/>
        </w:rPr>
        <w:t>31.68</w:t>
      </w:r>
      <w:r>
        <w:rPr>
          <w:rFonts w:hint="eastAsia" w:ascii="仿宋_GB2312" w:eastAsia="仿宋_GB2312"/>
          <w:sz w:val="32"/>
          <w:szCs w:val="32"/>
        </w:rPr>
        <w:t>万元，完成年初预算的</w:t>
      </w:r>
      <w:r>
        <w:rPr>
          <w:rFonts w:ascii="仿宋_GB2312" w:eastAsia="仿宋_GB2312"/>
          <w:sz w:val="32"/>
          <w:szCs w:val="32"/>
        </w:rPr>
        <w:t>100</w:t>
      </w:r>
      <w:r>
        <w:rPr>
          <w:rFonts w:hint="eastAsia" w:ascii="仿宋_GB2312" w:eastAsia="仿宋_GB2312"/>
          <w:sz w:val="32"/>
          <w:szCs w:val="32"/>
        </w:rPr>
        <w:t>%。决算数与年初预算基本持平。</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（六）一般公共预算财政拨款基本支出决算情况说明</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2020年度一般公共预算财政拨款基本支出决算</w:t>
      </w:r>
      <w:r>
        <w:rPr>
          <w:rFonts w:ascii="仿宋_GB2312" w:eastAsia="仿宋_GB2312"/>
          <w:sz w:val="32"/>
          <w:szCs w:val="32"/>
        </w:rPr>
        <w:t>590.21</w:t>
      </w:r>
      <w:r>
        <w:rPr>
          <w:rFonts w:hint="eastAsia" w:ascii="仿宋_GB2312" w:eastAsia="仿宋_GB2312"/>
          <w:sz w:val="32"/>
          <w:szCs w:val="32"/>
        </w:rPr>
        <w:t>万元，包括人员经费和公用经费，支出具体情况如下：</w:t>
      </w:r>
    </w:p>
    <w:p>
      <w:pPr>
        <w:spacing w:line="580" w:lineRule="exact"/>
        <w:ind w:firstLine="632" w:firstLineChars="200"/>
        <w:rPr>
          <w:rFonts w:hint="eastAsia" w:ascii="仿宋_GB2312" w:eastAsia="仿宋_GB2312"/>
          <w:b/>
          <w:sz w:val="32"/>
          <w:szCs w:val="32"/>
        </w:rPr>
      </w:pPr>
      <w:r>
        <w:rPr>
          <w:rFonts w:hint="eastAsia" w:ascii="仿宋_GB2312" w:eastAsia="仿宋_GB2312"/>
          <w:sz w:val="32"/>
          <w:szCs w:val="32"/>
        </w:rPr>
        <w:t>人员经费</w:t>
      </w:r>
      <w:r>
        <w:rPr>
          <w:rFonts w:ascii="仿宋_GB2312" w:eastAsia="仿宋_GB2312"/>
          <w:sz w:val="32"/>
          <w:szCs w:val="32"/>
        </w:rPr>
        <w:t>370.43</w:t>
      </w:r>
      <w:r>
        <w:rPr>
          <w:rFonts w:hint="eastAsia" w:ascii="仿宋_GB2312" w:eastAsia="仿宋_GB2312"/>
          <w:sz w:val="32"/>
          <w:szCs w:val="32"/>
        </w:rPr>
        <w:t>万元，主要包括：基本工资、津贴补贴、绩效工资、机关事业单位基本养老保险缴费、职业年金缴费、职工基本医疗保险缴费、其他社会保障缴费、住房公积金、离休费、医疗费补助。</w:t>
      </w:r>
    </w:p>
    <w:p>
      <w:pPr>
        <w:spacing w:line="580" w:lineRule="exact"/>
        <w:ind w:firstLine="632" w:firstLineChars="200"/>
        <w:rPr>
          <w:rFonts w:hint="eastAsia" w:ascii="仿宋_GB2312" w:eastAsia="仿宋_GB2312"/>
          <w:b/>
          <w:sz w:val="32"/>
          <w:szCs w:val="32"/>
        </w:rPr>
      </w:pPr>
      <w:r>
        <w:rPr>
          <w:rFonts w:hint="eastAsia" w:ascii="仿宋_GB2312" w:eastAsia="仿宋_GB2312"/>
          <w:sz w:val="32"/>
          <w:szCs w:val="32"/>
        </w:rPr>
        <w:t>公用经费</w:t>
      </w:r>
      <w:r>
        <w:rPr>
          <w:rFonts w:ascii="仿宋_GB2312" w:eastAsia="仿宋_GB2312"/>
          <w:sz w:val="32"/>
          <w:szCs w:val="32"/>
        </w:rPr>
        <w:t>219.78</w:t>
      </w:r>
      <w:r>
        <w:rPr>
          <w:rFonts w:hint="eastAsia" w:ascii="仿宋_GB2312" w:eastAsia="仿宋_GB2312"/>
          <w:sz w:val="32"/>
          <w:szCs w:val="32"/>
        </w:rPr>
        <w:t>万元，主要包括：办公费、咨询费、水费、电费、邮电费、物业管理费、差旅费、维修（护）费、公务接待费、工会经费、公务用车运行维护费、其他交通费用、其他商品和服务支出。</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（七）一般公共预算财政拨款“三公”经费支出决算情况说明</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1.“三公”经费支出决算总体情况</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2020年度一般公共预算财政拨款“三公”经费支出年初预算为4</w:t>
      </w:r>
      <w:r>
        <w:rPr>
          <w:rFonts w:ascii="仿宋_GB2312" w:eastAsia="仿宋_GB2312"/>
          <w:sz w:val="32"/>
          <w:szCs w:val="32"/>
        </w:rPr>
        <w:t>.9</w:t>
      </w:r>
      <w:r>
        <w:rPr>
          <w:rFonts w:hint="eastAsia" w:ascii="仿宋_GB2312" w:eastAsia="仿宋_GB2312"/>
          <w:sz w:val="32"/>
          <w:szCs w:val="32"/>
        </w:rPr>
        <w:t>万元，支出决算为</w:t>
      </w:r>
      <w:r>
        <w:rPr>
          <w:rFonts w:ascii="仿宋_GB2312" w:eastAsia="仿宋_GB2312"/>
          <w:sz w:val="32"/>
          <w:szCs w:val="32"/>
        </w:rPr>
        <w:t>0.19</w:t>
      </w:r>
      <w:r>
        <w:rPr>
          <w:rFonts w:hint="eastAsia" w:ascii="仿宋_GB2312" w:eastAsia="仿宋_GB2312"/>
          <w:sz w:val="32"/>
          <w:szCs w:val="32"/>
        </w:rPr>
        <w:t>万元，比年初预算减少</w:t>
      </w:r>
      <w:r>
        <w:rPr>
          <w:rFonts w:ascii="仿宋_GB2312" w:eastAsia="仿宋_GB2312"/>
          <w:sz w:val="32"/>
          <w:szCs w:val="32"/>
        </w:rPr>
        <w:t>4.71</w:t>
      </w:r>
      <w:r>
        <w:rPr>
          <w:rFonts w:hint="eastAsia" w:ascii="仿宋_GB2312" w:eastAsia="仿宋_GB2312"/>
          <w:sz w:val="32"/>
          <w:szCs w:val="32"/>
        </w:rPr>
        <w:t>万元，完成年初预算的3</w:t>
      </w:r>
      <w:r>
        <w:rPr>
          <w:rFonts w:ascii="仿宋_GB2312" w:eastAsia="仿宋_GB2312"/>
          <w:sz w:val="32"/>
          <w:szCs w:val="32"/>
        </w:rPr>
        <w:t>.88</w:t>
      </w:r>
      <w:r>
        <w:rPr>
          <w:rFonts w:hint="eastAsia" w:ascii="仿宋_GB2312" w:eastAsia="仿宋_GB2312"/>
          <w:sz w:val="32"/>
          <w:szCs w:val="32"/>
        </w:rPr>
        <w:t>%， 决算数小于年初预算数的主要原因是</w:t>
      </w:r>
      <w:r>
        <w:rPr>
          <w:rFonts w:hint="eastAsia" w:ascii="仿宋_GB2312" w:hAnsi="仿宋_GB2312" w:eastAsia="仿宋_GB2312" w:cs="仿宋_GB2312"/>
          <w:sz w:val="32"/>
          <w:szCs w:val="32"/>
        </w:rPr>
        <w:t>继续贯彻过紧日子要求，</w:t>
      </w:r>
      <w:r>
        <w:rPr>
          <w:rFonts w:hint="eastAsia" w:ascii="仿宋_GB2312" w:eastAsia="仿宋_GB2312"/>
          <w:sz w:val="32"/>
          <w:szCs w:val="32"/>
        </w:rPr>
        <w:t>严格管理，严控三公经费支出。</w:t>
      </w:r>
    </w:p>
    <w:p>
      <w:pPr>
        <w:spacing w:line="560" w:lineRule="exact"/>
        <w:ind w:firstLine="632" w:firstLineChars="200"/>
        <w:rPr>
          <w:rFonts w:hint="eastAsia" w:ascii="楷体_GB2312" w:eastAsia="楷体_GB2312"/>
          <w:sz w:val="32"/>
          <w:szCs w:val="32"/>
        </w:rPr>
      </w:pPr>
      <w:r>
        <w:rPr>
          <w:rFonts w:hint="eastAsia" w:ascii="楷体_GB2312" w:eastAsia="楷体_GB2312"/>
          <w:sz w:val="32"/>
          <w:szCs w:val="32"/>
        </w:rPr>
        <w:t>2.“三公”经费支出决算具体情况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（1）因公出国（境）费年初预算为2</w:t>
      </w:r>
      <w:r>
        <w:rPr>
          <w:rFonts w:ascii="仿宋_GB2312" w:eastAsia="仿宋_GB2312"/>
          <w:sz w:val="32"/>
          <w:szCs w:val="32"/>
        </w:rPr>
        <w:t>.8</w:t>
      </w:r>
      <w:r>
        <w:rPr>
          <w:rFonts w:hint="eastAsia" w:ascii="仿宋_GB2312" w:eastAsia="仿宋_GB2312"/>
          <w:sz w:val="32"/>
          <w:szCs w:val="32"/>
        </w:rPr>
        <w:t xml:space="preserve">万元，支出决算为 </w:t>
      </w:r>
      <w:r>
        <w:rPr>
          <w:rFonts w:ascii="仿宋_GB2312" w:eastAsia="仿宋_GB2312"/>
          <w:sz w:val="32"/>
          <w:szCs w:val="32"/>
        </w:rPr>
        <w:t>0</w:t>
      </w:r>
      <w:r>
        <w:rPr>
          <w:rFonts w:hint="eastAsia" w:ascii="仿宋_GB2312" w:eastAsia="仿宋_GB2312"/>
          <w:sz w:val="32"/>
          <w:szCs w:val="32"/>
        </w:rPr>
        <w:t xml:space="preserve"> 万元，比年初预算减少</w:t>
      </w:r>
      <w:r>
        <w:rPr>
          <w:rFonts w:ascii="仿宋_GB2312" w:eastAsia="仿宋_GB2312"/>
          <w:sz w:val="32"/>
          <w:szCs w:val="32"/>
        </w:rPr>
        <w:t>2.8</w:t>
      </w:r>
      <w:r>
        <w:rPr>
          <w:rFonts w:hint="eastAsia" w:ascii="仿宋_GB2312" w:eastAsia="仿宋_GB2312"/>
          <w:sz w:val="32"/>
          <w:szCs w:val="32"/>
        </w:rPr>
        <w:t>万元，完成年初预算的</w:t>
      </w:r>
      <w:r>
        <w:rPr>
          <w:rFonts w:ascii="仿宋_GB2312" w:eastAsia="仿宋_GB2312"/>
          <w:sz w:val="32"/>
          <w:szCs w:val="32"/>
        </w:rPr>
        <w:t>0</w:t>
      </w:r>
      <w:r>
        <w:rPr>
          <w:rFonts w:hint="eastAsia" w:ascii="仿宋_GB2312" w:eastAsia="仿宋_GB2312"/>
          <w:sz w:val="32"/>
          <w:szCs w:val="32"/>
        </w:rPr>
        <w:t>%，决算数小于年初预算数的主要原因是</w:t>
      </w:r>
      <w:r>
        <w:rPr>
          <w:rFonts w:hint="eastAsia" w:ascii="仿宋_GB2312" w:hAnsi="仿宋_GB2312" w:eastAsia="仿宋_GB2312" w:cs="仿宋_GB2312"/>
          <w:sz w:val="32"/>
          <w:szCs w:val="32"/>
        </w:rPr>
        <w:t>继续贯彻过紧日子要求和</w:t>
      </w:r>
      <w:r>
        <w:rPr>
          <w:rFonts w:hint="eastAsia" w:ascii="仿宋_GB2312" w:eastAsia="仿宋_GB2312"/>
          <w:sz w:val="32"/>
          <w:szCs w:val="32"/>
        </w:rPr>
        <w:t>工作任务调整，20</w:t>
      </w:r>
      <w:r>
        <w:rPr>
          <w:rFonts w:ascii="仿宋_GB2312" w:eastAsia="仿宋_GB2312"/>
          <w:sz w:val="32"/>
          <w:szCs w:val="32"/>
        </w:rPr>
        <w:t>20</w:t>
      </w:r>
      <w:r>
        <w:rPr>
          <w:rFonts w:hint="eastAsia" w:ascii="仿宋_GB2312" w:eastAsia="仿宋_GB2312"/>
          <w:sz w:val="32"/>
          <w:szCs w:val="32"/>
        </w:rPr>
        <w:t>年因全球疫情原因暂停了出国团组任务。</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（2）公务用车购置及运行维护费年初预算为1</w:t>
      </w:r>
      <w:r>
        <w:rPr>
          <w:rFonts w:ascii="仿宋_GB2312" w:eastAsia="仿宋_GB2312"/>
          <w:sz w:val="32"/>
          <w:szCs w:val="32"/>
        </w:rPr>
        <w:t>.6</w:t>
      </w:r>
      <w:r>
        <w:rPr>
          <w:rFonts w:hint="eastAsia" w:ascii="仿宋_GB2312" w:eastAsia="仿宋_GB2312"/>
          <w:sz w:val="32"/>
          <w:szCs w:val="32"/>
        </w:rPr>
        <w:t>万元，支出决算为</w:t>
      </w:r>
      <w:r>
        <w:rPr>
          <w:rFonts w:ascii="仿宋_GB2312" w:eastAsia="仿宋_GB2312"/>
          <w:sz w:val="32"/>
          <w:szCs w:val="32"/>
        </w:rPr>
        <w:t>0</w:t>
      </w:r>
      <w:r>
        <w:rPr>
          <w:rFonts w:hint="eastAsia" w:ascii="仿宋_GB2312" w:eastAsia="仿宋_GB2312"/>
          <w:sz w:val="32"/>
          <w:szCs w:val="32"/>
        </w:rPr>
        <w:t>万元，比年初预算减少</w:t>
      </w:r>
      <w:r>
        <w:rPr>
          <w:rFonts w:ascii="仿宋_GB2312" w:eastAsia="仿宋_GB2312"/>
          <w:sz w:val="32"/>
          <w:szCs w:val="32"/>
        </w:rPr>
        <w:t>1.6</w:t>
      </w:r>
      <w:r>
        <w:rPr>
          <w:rFonts w:hint="eastAsia" w:ascii="仿宋_GB2312" w:eastAsia="仿宋_GB2312"/>
          <w:sz w:val="32"/>
          <w:szCs w:val="32"/>
        </w:rPr>
        <w:t>万元，完成年初预算的</w:t>
      </w:r>
      <w:r>
        <w:rPr>
          <w:rFonts w:ascii="仿宋_GB2312" w:eastAsia="仿宋_GB2312"/>
          <w:sz w:val="32"/>
          <w:szCs w:val="32"/>
        </w:rPr>
        <w:t>0</w:t>
      </w:r>
      <w:r>
        <w:rPr>
          <w:rFonts w:hint="eastAsia" w:ascii="仿宋_GB2312" w:eastAsia="仿宋_GB2312"/>
          <w:sz w:val="32"/>
          <w:szCs w:val="32"/>
        </w:rPr>
        <w:t>%， 决算数小于年初预算数的主要原因是</w:t>
      </w:r>
      <w:r>
        <w:rPr>
          <w:rFonts w:hint="eastAsia" w:ascii="仿宋_GB2312" w:hAnsi="仿宋_GB2312" w:eastAsia="仿宋_GB2312" w:cs="仿宋_GB2312"/>
          <w:sz w:val="32"/>
          <w:szCs w:val="32"/>
        </w:rPr>
        <w:t>贯彻过紧日子要求，</w:t>
      </w:r>
      <w:r>
        <w:rPr>
          <w:rFonts w:hint="eastAsia" w:ascii="仿宋_GB2312" w:eastAsia="仿宋_GB2312"/>
          <w:sz w:val="32"/>
          <w:szCs w:val="32"/>
        </w:rPr>
        <w:t>加强车辆管理，各项费用减少。其中：</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公务用车购置费支出</w:t>
      </w:r>
      <w:r>
        <w:rPr>
          <w:rFonts w:ascii="仿宋_GB2312" w:eastAsia="仿宋_GB2312"/>
          <w:sz w:val="32"/>
          <w:szCs w:val="32"/>
        </w:rPr>
        <w:t>0</w:t>
      </w:r>
      <w:r>
        <w:rPr>
          <w:rFonts w:hint="eastAsia" w:ascii="仿宋_GB2312" w:eastAsia="仿宋_GB2312"/>
          <w:sz w:val="32"/>
          <w:szCs w:val="32"/>
        </w:rPr>
        <w:t>万元，2020年未使用财政拨款购置公务用车。</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公务用车运行维护费</w:t>
      </w:r>
      <w:r>
        <w:rPr>
          <w:rFonts w:ascii="仿宋_GB2312" w:eastAsia="仿宋_GB2312"/>
          <w:sz w:val="32"/>
          <w:szCs w:val="32"/>
        </w:rPr>
        <w:t>0</w:t>
      </w:r>
      <w:r>
        <w:rPr>
          <w:rFonts w:hint="eastAsia" w:ascii="仿宋_GB2312" w:eastAsia="仿宋_GB2312"/>
          <w:sz w:val="32"/>
          <w:szCs w:val="32"/>
        </w:rPr>
        <w:t>万元，主要是按规定保留的公务用车的燃料费、维修费、保险费等支出。截至2020年12月31日，财政拨款开支运行维护费的公务用车保有量为</w:t>
      </w:r>
      <w:r>
        <w:rPr>
          <w:rFonts w:ascii="仿宋_GB2312" w:eastAsia="仿宋_GB2312"/>
          <w:sz w:val="32"/>
          <w:szCs w:val="32"/>
        </w:rPr>
        <w:t>1</w:t>
      </w:r>
      <w:r>
        <w:rPr>
          <w:rFonts w:hint="eastAsia" w:ascii="仿宋_GB2312" w:eastAsia="仿宋_GB2312"/>
          <w:sz w:val="32"/>
          <w:szCs w:val="32"/>
        </w:rPr>
        <w:t>辆。</w:t>
      </w:r>
    </w:p>
    <w:p>
      <w:pPr>
        <w:spacing w:line="580" w:lineRule="exact"/>
        <w:ind w:firstLine="600"/>
        <w:rPr>
          <w:rFonts w:hint="eastAsia" w:ascii="仿宋_GB2312" w:eastAsia="仿宋_GB2312"/>
          <w:sz w:val="32"/>
          <w:szCs w:val="32"/>
        </w:rPr>
      </w:pPr>
      <w:r>
        <w:rPr>
          <w:rFonts w:hint="eastAsia" w:ascii="仿宋_GB2312" w:eastAsia="仿宋_GB2312"/>
          <w:sz w:val="32"/>
          <w:szCs w:val="32"/>
        </w:rPr>
        <w:t>（3）公务接待费年初预算为0</w:t>
      </w:r>
      <w:r>
        <w:rPr>
          <w:rFonts w:ascii="仿宋_GB2312" w:eastAsia="仿宋_GB2312"/>
          <w:sz w:val="32"/>
          <w:szCs w:val="32"/>
        </w:rPr>
        <w:t>.5</w:t>
      </w:r>
      <w:r>
        <w:rPr>
          <w:rFonts w:hint="eastAsia" w:ascii="仿宋_GB2312" w:eastAsia="仿宋_GB2312"/>
          <w:sz w:val="32"/>
          <w:szCs w:val="32"/>
        </w:rPr>
        <w:t>万元，支出决算为0</w:t>
      </w:r>
      <w:r>
        <w:rPr>
          <w:rFonts w:ascii="仿宋_GB2312" w:eastAsia="仿宋_GB2312"/>
          <w:sz w:val="32"/>
          <w:szCs w:val="32"/>
        </w:rPr>
        <w:t>.19</w:t>
      </w:r>
      <w:r>
        <w:rPr>
          <w:rFonts w:hint="eastAsia" w:ascii="仿宋_GB2312" w:eastAsia="仿宋_GB2312"/>
          <w:sz w:val="32"/>
          <w:szCs w:val="32"/>
        </w:rPr>
        <w:t>万元，比年初预算减少</w:t>
      </w:r>
      <w:r>
        <w:rPr>
          <w:rFonts w:ascii="仿宋_GB2312" w:eastAsia="仿宋_GB2312"/>
          <w:sz w:val="32"/>
          <w:szCs w:val="32"/>
        </w:rPr>
        <w:t>0.31</w:t>
      </w:r>
      <w:r>
        <w:rPr>
          <w:rFonts w:hint="eastAsia" w:ascii="仿宋_GB2312" w:eastAsia="仿宋_GB2312"/>
          <w:sz w:val="32"/>
          <w:szCs w:val="32"/>
        </w:rPr>
        <w:t>万元，完成年初预算的6</w:t>
      </w:r>
      <w:r>
        <w:rPr>
          <w:rFonts w:ascii="仿宋_GB2312" w:eastAsia="仿宋_GB2312"/>
          <w:sz w:val="32"/>
          <w:szCs w:val="32"/>
        </w:rPr>
        <w:t>2</w:t>
      </w:r>
      <w:r>
        <w:rPr>
          <w:rFonts w:hint="eastAsia" w:ascii="仿宋_GB2312" w:eastAsia="仿宋_GB2312"/>
          <w:sz w:val="32"/>
          <w:szCs w:val="32"/>
        </w:rPr>
        <w:t>%，决算数小于年初预算数的主要原因是严格执行中央八项规定，严控公务接待费支出。20</w:t>
      </w:r>
      <w:r>
        <w:rPr>
          <w:rFonts w:ascii="仿宋_GB2312" w:eastAsia="仿宋_GB2312"/>
          <w:sz w:val="32"/>
          <w:szCs w:val="32"/>
        </w:rPr>
        <w:t>20</w:t>
      </w:r>
      <w:r>
        <w:rPr>
          <w:rFonts w:hint="eastAsia" w:ascii="仿宋_GB2312" w:eastAsia="仿宋_GB2312"/>
          <w:sz w:val="32"/>
          <w:szCs w:val="32"/>
        </w:rPr>
        <w:t>年度公务接待全部为国内公务接待，主要用于系统各单位开展标准化交流工作的接待支出等，共计接待</w:t>
      </w:r>
      <w:r>
        <w:rPr>
          <w:rFonts w:ascii="仿宋_GB2312" w:eastAsia="仿宋_GB2312"/>
          <w:sz w:val="32"/>
          <w:szCs w:val="32"/>
        </w:rPr>
        <w:t>2</w:t>
      </w:r>
      <w:r>
        <w:rPr>
          <w:rFonts w:hint="eastAsia" w:ascii="仿宋_GB2312" w:eastAsia="仿宋_GB2312"/>
          <w:sz w:val="32"/>
          <w:szCs w:val="32"/>
        </w:rPr>
        <w:t>批次，</w:t>
      </w:r>
      <w:r>
        <w:rPr>
          <w:rFonts w:ascii="仿宋_GB2312" w:eastAsia="仿宋_GB2312"/>
          <w:sz w:val="32"/>
          <w:szCs w:val="32"/>
        </w:rPr>
        <w:t>10</w:t>
      </w:r>
      <w:r>
        <w:rPr>
          <w:rFonts w:hint="eastAsia" w:ascii="仿宋_GB2312" w:eastAsia="仿宋_GB2312"/>
          <w:sz w:val="32"/>
          <w:szCs w:val="32"/>
        </w:rPr>
        <w:t>人次。</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（八）政府性基金预算财政拨款收入支出决算情况说明</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本单位没有政府性基金财政拨款收支。</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（九）国有资本经营预算财政拨款支出决算情况说明</w:t>
      </w:r>
    </w:p>
    <w:p>
      <w:pPr>
        <w:spacing w:line="560" w:lineRule="exact"/>
        <w:ind w:firstLine="632" w:firstLineChars="200"/>
        <w:rPr>
          <w:rFonts w:hint="eastAsia" w:ascii="楷体_GB2312" w:hAnsi="黑体" w:eastAsia="楷体_GB2312"/>
          <w:sz w:val="32"/>
          <w:szCs w:val="32"/>
        </w:rPr>
      </w:pPr>
      <w:r>
        <w:rPr>
          <w:rFonts w:hint="eastAsia" w:ascii="楷体_GB2312" w:hAnsi="黑体" w:eastAsia="楷体_GB2312"/>
          <w:sz w:val="32"/>
          <w:szCs w:val="32"/>
        </w:rPr>
        <w:t>本单位没有国有资本经营预算财政拨款支出。</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 xml:space="preserve">二、其他重要事项情况说明 </w:t>
      </w:r>
    </w:p>
    <w:p>
      <w:pPr>
        <w:spacing w:line="560" w:lineRule="exact"/>
        <w:ind w:firstLine="632" w:firstLineChars="200"/>
        <w:rPr>
          <w:rFonts w:hint="eastAsia" w:ascii="楷体_GB2312" w:eastAsia="楷体_GB2312"/>
          <w:sz w:val="32"/>
          <w:szCs w:val="32"/>
        </w:rPr>
      </w:pPr>
      <w:r>
        <w:rPr>
          <w:rFonts w:hint="eastAsia" w:ascii="楷体_GB2312" w:eastAsia="楷体_GB2312"/>
          <w:sz w:val="32"/>
          <w:szCs w:val="32"/>
        </w:rPr>
        <w:t>（一）机关运行经费支出情况</w:t>
      </w:r>
    </w:p>
    <w:p>
      <w:pPr>
        <w:spacing w:line="560" w:lineRule="exact"/>
        <w:ind w:firstLine="632" w:firstLineChars="200"/>
        <w:rPr>
          <w:rFonts w:hint="eastAsia" w:ascii="仿宋_GB2312" w:eastAsia="仿宋_GB2312"/>
          <w:b/>
          <w:sz w:val="32"/>
          <w:szCs w:val="32"/>
        </w:rPr>
      </w:pPr>
      <w:r>
        <w:rPr>
          <w:rFonts w:hint="eastAsia" w:ascii="楷体_GB2312" w:hAnsi="黑体" w:eastAsia="楷体_GB2312"/>
          <w:sz w:val="32"/>
          <w:szCs w:val="32"/>
        </w:rPr>
        <w:t>本单位无一般公共预算安排的机关运行经费支出。</w:t>
      </w:r>
    </w:p>
    <w:p>
      <w:pPr>
        <w:spacing w:line="560" w:lineRule="exact"/>
        <w:ind w:firstLine="632" w:firstLineChars="200"/>
        <w:rPr>
          <w:rFonts w:hint="eastAsia" w:ascii="楷体_GB2312" w:eastAsia="楷体_GB2312"/>
          <w:sz w:val="32"/>
          <w:szCs w:val="32"/>
        </w:rPr>
      </w:pPr>
      <w:r>
        <w:rPr>
          <w:rFonts w:hint="eastAsia" w:ascii="楷体_GB2312" w:eastAsia="楷体_GB2312"/>
          <w:sz w:val="32"/>
          <w:szCs w:val="32"/>
        </w:rPr>
        <w:t>（二）政府采购支出情况</w:t>
      </w:r>
    </w:p>
    <w:p>
      <w:pPr>
        <w:autoSpaceDE w:val="0"/>
        <w:autoSpaceDN w:val="0"/>
        <w:adjustRightInd w:val="0"/>
        <w:spacing w:line="560" w:lineRule="exact"/>
        <w:ind w:firstLine="632"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2020年度政府采购支出总额</w:t>
      </w:r>
      <w:r>
        <w:rPr>
          <w:rFonts w:ascii="仿宋_GB2312" w:hAnsi="宋体" w:eastAsia="仿宋_GB2312" w:cs="Courier New"/>
          <w:sz w:val="32"/>
          <w:szCs w:val="32"/>
        </w:rPr>
        <w:t>118.37</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82.80</w:t>
      </w:r>
      <w:r>
        <w:rPr>
          <w:rFonts w:hint="eastAsia" w:ascii="仿宋_GB2312" w:hAnsi="宋体" w:eastAsia="仿宋_GB2312" w:cs="Courier New"/>
          <w:sz w:val="32"/>
          <w:szCs w:val="32"/>
        </w:rPr>
        <w:t xml:space="preserve">万元、政府采购工程支出0万元、政府采购服务支出  </w:t>
      </w:r>
      <w:r>
        <w:rPr>
          <w:rFonts w:ascii="仿宋_GB2312" w:hAnsi="宋体" w:eastAsia="仿宋_GB2312" w:cs="Courier New"/>
          <w:sz w:val="32"/>
          <w:szCs w:val="32"/>
        </w:rPr>
        <w:t>35.57</w:t>
      </w:r>
      <w:r>
        <w:rPr>
          <w:rFonts w:hint="eastAsia" w:ascii="仿宋_GB2312" w:hAnsi="宋体" w:eastAsia="仿宋_GB2312" w:cs="Courier New"/>
          <w:sz w:val="32"/>
          <w:szCs w:val="32"/>
        </w:rPr>
        <w:t>万元。授予中小企业合同金额</w:t>
      </w:r>
      <w:r>
        <w:rPr>
          <w:rFonts w:ascii="仿宋_GB2312" w:hAnsi="宋体" w:eastAsia="仿宋_GB2312" w:cs="Courier New"/>
          <w:sz w:val="32"/>
          <w:szCs w:val="32"/>
        </w:rPr>
        <w:t>7.40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6.25</w:t>
      </w:r>
      <w:r>
        <w:rPr>
          <w:rFonts w:hint="eastAsia" w:ascii="仿宋_GB2312" w:hAnsi="宋体" w:eastAsia="仿宋_GB2312" w:cs="Courier New"/>
          <w:sz w:val="32"/>
          <w:szCs w:val="32"/>
        </w:rPr>
        <w:t>%，其中：授予小微企业合同金额</w:t>
      </w:r>
      <w:r>
        <w:rPr>
          <w:rFonts w:ascii="仿宋_GB2312" w:hAnsi="宋体" w:eastAsia="仿宋_GB2312" w:cs="Courier New"/>
          <w:sz w:val="32"/>
          <w:szCs w:val="32"/>
        </w:rPr>
        <w:t>7.4</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6.25</w:t>
      </w:r>
      <w:r>
        <w:rPr>
          <w:rFonts w:hint="eastAsia" w:ascii="仿宋_GB2312" w:hAnsi="宋体" w:eastAsia="仿宋_GB2312" w:cs="Courier New"/>
          <w:sz w:val="32"/>
          <w:szCs w:val="32"/>
        </w:rPr>
        <w:t>%。</w:t>
      </w:r>
    </w:p>
    <w:p>
      <w:pPr>
        <w:spacing w:line="560" w:lineRule="exact"/>
        <w:ind w:firstLine="632" w:firstLineChars="200"/>
        <w:rPr>
          <w:rFonts w:hint="eastAsia" w:ascii="楷体_GB2312" w:eastAsia="楷体_GB2312"/>
          <w:sz w:val="32"/>
          <w:szCs w:val="32"/>
          <w:highlight w:val="yellow"/>
        </w:rPr>
      </w:pPr>
      <w:r>
        <w:rPr>
          <w:rFonts w:hint="eastAsia" w:ascii="楷体_GB2312" w:eastAsia="楷体_GB2312"/>
          <w:sz w:val="32"/>
          <w:szCs w:val="32"/>
        </w:rPr>
        <w:t>（三）国有资产占用情况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截至2020年12月31日，本单位共有车辆</w:t>
      </w:r>
      <w:r>
        <w:rPr>
          <w:rFonts w:ascii="仿宋_GB2312" w:eastAsia="仿宋_GB2312"/>
          <w:sz w:val="32"/>
          <w:szCs w:val="32"/>
        </w:rPr>
        <w:t>1</w:t>
      </w:r>
      <w:r>
        <w:rPr>
          <w:rFonts w:hint="eastAsia" w:ascii="仿宋_GB2312" w:eastAsia="仿宋_GB2312"/>
          <w:sz w:val="32"/>
          <w:szCs w:val="32"/>
        </w:rPr>
        <w:t>辆，其中，符合规定领导干部用车</w:t>
      </w:r>
      <w:r>
        <w:rPr>
          <w:rFonts w:ascii="仿宋_GB2312" w:eastAsia="仿宋_GB2312"/>
          <w:sz w:val="32"/>
          <w:szCs w:val="32"/>
        </w:rPr>
        <w:t>0</w:t>
      </w:r>
      <w:r>
        <w:rPr>
          <w:rFonts w:hint="eastAsia" w:ascii="仿宋_GB2312" w:eastAsia="仿宋_GB2312"/>
          <w:sz w:val="32"/>
          <w:szCs w:val="32"/>
        </w:rPr>
        <w:t>辆、机要通信用车0辆、应急保障用车0辆、执法执勤用车0辆、特种专业技术用车</w:t>
      </w:r>
      <w:r>
        <w:rPr>
          <w:rFonts w:ascii="仿宋_GB2312" w:eastAsia="仿宋_GB2312"/>
          <w:sz w:val="32"/>
          <w:szCs w:val="32"/>
        </w:rPr>
        <w:t>0</w:t>
      </w:r>
      <w:r>
        <w:rPr>
          <w:rFonts w:hint="eastAsia" w:ascii="仿宋_GB2312" w:eastAsia="仿宋_GB2312"/>
          <w:sz w:val="32"/>
          <w:szCs w:val="32"/>
        </w:rPr>
        <w:t>辆、离退休干部用车</w:t>
      </w:r>
      <w:r>
        <w:rPr>
          <w:rFonts w:ascii="仿宋_GB2312" w:eastAsia="仿宋_GB2312"/>
          <w:sz w:val="32"/>
          <w:szCs w:val="32"/>
        </w:rPr>
        <w:t>0</w:t>
      </w:r>
      <w:r>
        <w:rPr>
          <w:rFonts w:hint="eastAsia" w:ascii="仿宋_GB2312" w:eastAsia="仿宋_GB2312"/>
          <w:sz w:val="32"/>
          <w:szCs w:val="32"/>
        </w:rPr>
        <w:t>辆、其他用车1辆，其他用车主要是业务用车；单位价值 50 万元以上通用设备</w:t>
      </w:r>
      <w:r>
        <w:rPr>
          <w:rFonts w:ascii="仿宋_GB2312" w:eastAsia="仿宋_GB2312"/>
          <w:sz w:val="32"/>
          <w:szCs w:val="32"/>
        </w:rPr>
        <w:t>0</w:t>
      </w:r>
      <w:r>
        <w:rPr>
          <w:rFonts w:hint="eastAsia" w:ascii="仿宋_GB2312" w:eastAsia="仿宋_GB2312"/>
          <w:sz w:val="32"/>
          <w:szCs w:val="32"/>
        </w:rPr>
        <w:t>台（套）；单位价值 100 万元以上专用设备</w:t>
      </w:r>
      <w:r>
        <w:rPr>
          <w:rFonts w:ascii="仿宋_GB2312" w:eastAsia="仿宋_GB2312"/>
          <w:sz w:val="32"/>
          <w:szCs w:val="32"/>
        </w:rPr>
        <w:t>0</w:t>
      </w:r>
      <w:r>
        <w:rPr>
          <w:rFonts w:hint="eastAsia" w:ascii="仿宋_GB2312" w:eastAsia="仿宋_GB2312"/>
          <w:sz w:val="32"/>
          <w:szCs w:val="32"/>
        </w:rPr>
        <w:t>台（套）。</w:t>
      </w: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spacing w:line="580" w:lineRule="exact"/>
        <w:ind w:firstLine="200"/>
        <w:rPr>
          <w:rFonts w:hint="eastAsia" w:ascii="方正小标宋简体" w:eastAsia="方正小标宋简体"/>
          <w:sz w:val="42"/>
        </w:rPr>
      </w:pPr>
    </w:p>
    <w:p>
      <w:pPr>
        <w:spacing w:line="580" w:lineRule="exact"/>
        <w:ind w:firstLine="200"/>
        <w:rPr>
          <w:rFonts w:hint="eastAsia" w:ascii="方正小标宋简体" w:eastAsia="方正小标宋简体"/>
          <w:sz w:val="42"/>
        </w:rPr>
      </w:pPr>
    </w:p>
    <w:p>
      <w:pPr>
        <w:spacing w:line="580" w:lineRule="exact"/>
        <w:ind w:firstLine="200"/>
        <w:rPr>
          <w:rFonts w:hint="eastAsia" w:ascii="方正小标宋简体" w:eastAsia="方正小标宋简体"/>
          <w:sz w:val="42"/>
        </w:rPr>
      </w:pPr>
    </w:p>
    <w:p>
      <w:pPr>
        <w:spacing w:line="580" w:lineRule="exact"/>
        <w:ind w:firstLine="200"/>
        <w:rPr>
          <w:rFonts w:hint="eastAsia" w:ascii="方正小标宋简体" w:eastAsia="方正小标宋简体"/>
          <w:sz w:val="42"/>
        </w:rPr>
      </w:pPr>
    </w:p>
    <w:p>
      <w:pPr>
        <w:rPr>
          <w:rFonts w:hint="eastAsia" w:ascii="黑体" w:eastAsia="黑体"/>
          <w:sz w:val="52"/>
          <w:szCs w:val="52"/>
        </w:rPr>
      </w:pPr>
      <w:r>
        <w:rPr>
          <w:rFonts w:hint="eastAsia" w:ascii="黑体" w:eastAsia="黑体"/>
          <w:sz w:val="52"/>
          <w:szCs w:val="52"/>
        </w:rPr>
        <w:t xml:space="preserve">  第四部分</w:t>
      </w:r>
    </w:p>
    <w:p>
      <w:pPr>
        <w:jc w:val="cente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名词解释</w:t>
      </w:r>
    </w:p>
    <w:p>
      <w:pPr>
        <w:jc w:val="center"/>
        <w:rPr>
          <w:rFonts w:hint="eastAsia" w:ascii="黑体" w:eastAsia="黑体"/>
          <w:sz w:val="52"/>
          <w:szCs w:val="52"/>
        </w:rPr>
      </w:pPr>
    </w:p>
    <w:p>
      <w:pPr>
        <w:jc w:val="center"/>
        <w:rPr>
          <w:rFonts w:hint="eastAsia" w:ascii="黑体" w:hAnsi="黑体" w:eastAsia="黑体"/>
          <w:spacing w:val="60"/>
          <w:sz w:val="48"/>
          <w:szCs w:val="48"/>
        </w:rPr>
      </w:pPr>
    </w:p>
    <w:p>
      <w:pPr>
        <w:jc w:val="center"/>
        <w:rPr>
          <w:rFonts w:hint="eastAsia" w:ascii="方正小标宋简体" w:eastAsia="方正小标宋简体"/>
          <w:spacing w:val="60"/>
          <w:sz w:val="48"/>
        </w:rPr>
      </w:pPr>
    </w:p>
    <w:p>
      <w:pPr>
        <w:jc w:val="center"/>
        <w:rPr>
          <w:rFonts w:hint="eastAsia" w:ascii="方正小标宋简体" w:eastAsia="方正小标宋简体"/>
          <w:spacing w:val="60"/>
          <w:sz w:val="48"/>
        </w:rPr>
      </w:pPr>
    </w:p>
    <w:p>
      <w:pPr>
        <w:spacing w:line="580" w:lineRule="exact"/>
        <w:rPr>
          <w:rFonts w:hint="eastAsia" w:ascii="黑体" w:hAnsi="黑体" w:eastAsia="黑体"/>
          <w:color w:val="000000"/>
          <w:sz w:val="32"/>
          <w:szCs w:val="32"/>
        </w:rPr>
      </w:pPr>
    </w:p>
    <w:p>
      <w:pPr>
        <w:spacing w:line="580" w:lineRule="exact"/>
        <w:rPr>
          <w:rFonts w:hint="eastAsia" w:ascii="黑体" w:hAnsi="黑体" w:eastAsia="黑体"/>
          <w:color w:val="000000"/>
          <w:sz w:val="32"/>
          <w:szCs w:val="32"/>
        </w:rPr>
      </w:pPr>
    </w:p>
    <w:p>
      <w:pPr>
        <w:spacing w:line="580" w:lineRule="exact"/>
        <w:rPr>
          <w:rFonts w:hint="eastAsia" w:ascii="黑体" w:hAnsi="黑体" w:eastAsia="黑体"/>
          <w:color w:val="000000"/>
          <w:sz w:val="32"/>
          <w:szCs w:val="32"/>
        </w:rPr>
      </w:pPr>
    </w:p>
    <w:p>
      <w:pPr>
        <w:spacing w:line="580" w:lineRule="exact"/>
        <w:ind w:firstLine="632" w:firstLineChars="200"/>
        <w:rPr>
          <w:rFonts w:hint="eastAsia" w:ascii="黑体" w:hAnsi="黑体" w:eastAsia="黑体"/>
          <w:color w:val="000000"/>
          <w:sz w:val="32"/>
          <w:szCs w:val="32"/>
        </w:rPr>
      </w:pPr>
    </w:p>
    <w:p>
      <w:pPr>
        <w:spacing w:line="580" w:lineRule="exact"/>
        <w:ind w:firstLine="632" w:firstLineChars="200"/>
        <w:rPr>
          <w:rFonts w:hint="eastAsia" w:ascii="黑体" w:hAnsi="黑体" w:eastAsia="黑体"/>
          <w:color w:val="000000"/>
          <w:sz w:val="32"/>
          <w:szCs w:val="32"/>
        </w:rPr>
      </w:pPr>
    </w:p>
    <w:p>
      <w:pPr>
        <w:spacing w:line="560" w:lineRule="exact"/>
        <w:ind w:firstLine="632" w:firstLineChars="200"/>
        <w:rPr>
          <w:rFonts w:hint="eastAsia"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指单位本年度从本级财政部门取得的财政拨款，包括一般公共预算财政拨款、政府性基金预算财政拨款和国有资本经营预算财政拨款。</w:t>
      </w:r>
    </w:p>
    <w:p>
      <w:pPr>
        <w:spacing w:line="560" w:lineRule="exact"/>
        <w:ind w:firstLine="632" w:firstLineChars="200"/>
        <w:rPr>
          <w:rFonts w:hint="eastAsia"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60" w:lineRule="exact"/>
        <w:ind w:firstLine="632" w:firstLineChars="200"/>
        <w:rPr>
          <w:rFonts w:hint="eastAsia"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spacing w:line="560" w:lineRule="exact"/>
        <w:ind w:firstLine="632" w:firstLineChars="200"/>
        <w:rPr>
          <w:rFonts w:hint="eastAsia"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spacing w:line="560" w:lineRule="exact"/>
        <w:ind w:firstLine="632" w:firstLineChars="200"/>
        <w:rPr>
          <w:rFonts w:hint="eastAsia"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60" w:lineRule="exact"/>
        <w:ind w:firstLine="632" w:firstLineChars="200"/>
        <w:rPr>
          <w:rFonts w:hint="eastAsia"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60" w:lineRule="exact"/>
        <w:ind w:firstLine="632" w:firstLineChars="200"/>
        <w:rPr>
          <w:rFonts w:hint="eastAsia" w:ascii="仿宋_GB2312" w:hAnsi="仿宋" w:eastAsia="仿宋_GB2312"/>
          <w:sz w:val="32"/>
          <w:szCs w:val="32"/>
        </w:rPr>
      </w:pPr>
      <w:r>
        <w:rPr>
          <w:rFonts w:hint="eastAsia" w:ascii="黑体" w:hAnsi="黑体" w:eastAsia="黑体"/>
          <w:sz w:val="32"/>
          <w:szCs w:val="32"/>
        </w:rPr>
        <w:t>七、使用非财政拨款结余：</w:t>
      </w:r>
      <w:r>
        <w:rPr>
          <w:rFonts w:hint="eastAsia" w:ascii="仿宋_GB2312" w:hAnsi="仿宋" w:eastAsia="仿宋_GB2312"/>
          <w:sz w:val="32"/>
          <w:szCs w:val="32"/>
        </w:rPr>
        <w:t>指事业单位按照预算管理要求使用非财政拨款结余弥补收支差额的金额。</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指事业单位缴纳的所得税以及从非财政拨款结余或经营结余中提取的各类结余。</w:t>
      </w:r>
    </w:p>
    <w:p>
      <w:pPr>
        <w:spacing w:line="560" w:lineRule="exact"/>
        <w:ind w:firstLine="632" w:firstLineChars="200"/>
        <w:rPr>
          <w:rFonts w:hint="eastAsia"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指单位为保障机构正常运转、完成日常工作任务而发生的各项支出。</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指单位为完成特定的行政工作任务或事业发展目标，在基本支出之外发生的各项支出。</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桥过路费、保险费、安全奖励费用等支出；公务接待费反映单位按规定开支的各类公务接待（含外宾接待）支出。</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十六、一般公共服务支出（类）市场监督管理事务（款）事业运行（项）：</w:t>
      </w:r>
      <w:r>
        <w:rPr>
          <w:rFonts w:hint="eastAsia" w:ascii="仿宋_GB2312" w:eastAsia="仿宋_GB2312"/>
          <w:sz w:val="32"/>
          <w:szCs w:val="32"/>
        </w:rPr>
        <w:t>反映事业单位的基本支出，不包括行政单位（包括实行公务员管理的事业单位）后勤服务中心 、医务室等附属事业单位。</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十七、社会保障和就业支出（类）行政事业单位养老支出（款）机关事业单位基本养老保险缴费支出（项）：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spacing w:line="560" w:lineRule="exact"/>
        <w:ind w:firstLine="632" w:firstLineChars="200"/>
        <w:rPr>
          <w:rFonts w:hint="eastAsia" w:ascii="仿宋_GB2312" w:eastAsia="仿宋_GB2312"/>
          <w:sz w:val="32"/>
          <w:szCs w:val="32"/>
        </w:rPr>
      </w:pPr>
      <w:r>
        <w:rPr>
          <w:rFonts w:hint="eastAsia" w:ascii="黑体" w:hAnsi="黑体" w:eastAsia="黑体"/>
          <w:sz w:val="32"/>
          <w:szCs w:val="32"/>
        </w:rPr>
        <w:t>十八、社会保障和就业支出（类）行政事业单位养老支出（款）机关事业单位职业年金缴费支出（项）：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spacing w:line="560" w:lineRule="exact"/>
        <w:ind w:firstLine="632" w:firstLineChars="200"/>
        <w:rPr>
          <w:rFonts w:ascii="仿宋_GB2312" w:eastAsia="仿宋_GB2312"/>
          <w:sz w:val="32"/>
          <w:szCs w:val="32"/>
        </w:rPr>
      </w:pPr>
      <w:r>
        <w:rPr>
          <w:rFonts w:hint="eastAsia" w:ascii="黑体" w:hAnsi="黑体" w:eastAsia="黑体"/>
          <w:sz w:val="32"/>
          <w:szCs w:val="32"/>
        </w:rPr>
        <w:t>十九、住房保障支出（类）住房改革支出（款）住房公积金（项）：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rPr>
          <w:rFonts w:hint="eastAsia" w:ascii="方正小标宋简体" w:eastAsia="方正小标宋简体"/>
          <w:spacing w:val="60"/>
          <w:sz w:val="42"/>
        </w:rPr>
      </w:pPr>
    </w:p>
    <w:sectPr>
      <w:footerReference r:id="rId8" w:type="default"/>
      <w:footerReference r:id="rId9" w:type="even"/>
      <w:pgSz w:w="11906" w:h="16838"/>
      <w:pgMar w:top="1701" w:right="1531" w:bottom="1701" w:left="1531" w:header="0" w:footer="1418" w:gutter="0"/>
      <w:cols w:space="720" w:num="1"/>
      <w:docGrid w:type="linesAndChars" w:linePitch="610" w:charSpace="-8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 x" w:date="2021-09-21T13:02:00Z" w:initials="zx">
    <w:p w14:paraId="6FEC05E9">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EC05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文星简大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lang w:val="en-US" w:eastAsia="zh-CN"/>
      </w:rPr>
      <w:t>24</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 x">
    <w15:presenceInfo w15:providerId="Windows Live" w15:userId="7aa3eb761b09aa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3"/>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83"/>
    <w:rsid w:val="000037A0"/>
    <w:rsid w:val="00007DC9"/>
    <w:rsid w:val="00010FE6"/>
    <w:rsid w:val="00011BD7"/>
    <w:rsid w:val="00013228"/>
    <w:rsid w:val="00016478"/>
    <w:rsid w:val="00017BE6"/>
    <w:rsid w:val="00021595"/>
    <w:rsid w:val="000217B6"/>
    <w:rsid w:val="00023ACF"/>
    <w:rsid w:val="000256DB"/>
    <w:rsid w:val="000262D1"/>
    <w:rsid w:val="00031E72"/>
    <w:rsid w:val="00031FDC"/>
    <w:rsid w:val="000348C2"/>
    <w:rsid w:val="000368B1"/>
    <w:rsid w:val="00037B20"/>
    <w:rsid w:val="00040B20"/>
    <w:rsid w:val="00044DCC"/>
    <w:rsid w:val="00045A58"/>
    <w:rsid w:val="00046A75"/>
    <w:rsid w:val="00047478"/>
    <w:rsid w:val="0004763A"/>
    <w:rsid w:val="00047D02"/>
    <w:rsid w:val="00052307"/>
    <w:rsid w:val="00053C6A"/>
    <w:rsid w:val="00054C98"/>
    <w:rsid w:val="00057D1D"/>
    <w:rsid w:val="000679A9"/>
    <w:rsid w:val="00072AD9"/>
    <w:rsid w:val="00073FAE"/>
    <w:rsid w:val="00074D65"/>
    <w:rsid w:val="00074EDA"/>
    <w:rsid w:val="00076E25"/>
    <w:rsid w:val="00077098"/>
    <w:rsid w:val="0008135F"/>
    <w:rsid w:val="00082097"/>
    <w:rsid w:val="00087607"/>
    <w:rsid w:val="00090C14"/>
    <w:rsid w:val="000A0D90"/>
    <w:rsid w:val="000A2755"/>
    <w:rsid w:val="000A32E5"/>
    <w:rsid w:val="000A4FC9"/>
    <w:rsid w:val="000A7E71"/>
    <w:rsid w:val="000B0216"/>
    <w:rsid w:val="000B02E0"/>
    <w:rsid w:val="000B1330"/>
    <w:rsid w:val="000B7F17"/>
    <w:rsid w:val="000C74E1"/>
    <w:rsid w:val="000D0803"/>
    <w:rsid w:val="000D1878"/>
    <w:rsid w:val="000D31C7"/>
    <w:rsid w:val="000D5383"/>
    <w:rsid w:val="000D7B27"/>
    <w:rsid w:val="000E1CB4"/>
    <w:rsid w:val="000E2130"/>
    <w:rsid w:val="000E37E6"/>
    <w:rsid w:val="000E41B0"/>
    <w:rsid w:val="000E4536"/>
    <w:rsid w:val="000E5E12"/>
    <w:rsid w:val="000E6C54"/>
    <w:rsid w:val="000E76A2"/>
    <w:rsid w:val="000F0025"/>
    <w:rsid w:val="000F0E2C"/>
    <w:rsid w:val="000F2160"/>
    <w:rsid w:val="000F2903"/>
    <w:rsid w:val="000F406F"/>
    <w:rsid w:val="000F6B1F"/>
    <w:rsid w:val="000F75A5"/>
    <w:rsid w:val="00102DF0"/>
    <w:rsid w:val="00107432"/>
    <w:rsid w:val="00110214"/>
    <w:rsid w:val="00111472"/>
    <w:rsid w:val="001149AF"/>
    <w:rsid w:val="00114AFE"/>
    <w:rsid w:val="00115F31"/>
    <w:rsid w:val="00117D73"/>
    <w:rsid w:val="00117FD5"/>
    <w:rsid w:val="00122CDC"/>
    <w:rsid w:val="00122E72"/>
    <w:rsid w:val="001247D3"/>
    <w:rsid w:val="0012556E"/>
    <w:rsid w:val="00125BFB"/>
    <w:rsid w:val="0013247D"/>
    <w:rsid w:val="00133784"/>
    <w:rsid w:val="0013508F"/>
    <w:rsid w:val="00142984"/>
    <w:rsid w:val="0014481D"/>
    <w:rsid w:val="00150FDD"/>
    <w:rsid w:val="00151B4A"/>
    <w:rsid w:val="0015319D"/>
    <w:rsid w:val="00155BA2"/>
    <w:rsid w:val="0015766C"/>
    <w:rsid w:val="0016083B"/>
    <w:rsid w:val="0016381D"/>
    <w:rsid w:val="00167985"/>
    <w:rsid w:val="00167F6E"/>
    <w:rsid w:val="00170067"/>
    <w:rsid w:val="00170426"/>
    <w:rsid w:val="0017132B"/>
    <w:rsid w:val="001776CE"/>
    <w:rsid w:val="001823F0"/>
    <w:rsid w:val="00184019"/>
    <w:rsid w:val="00186D80"/>
    <w:rsid w:val="0019244E"/>
    <w:rsid w:val="00195E4A"/>
    <w:rsid w:val="001961AE"/>
    <w:rsid w:val="001A0EBF"/>
    <w:rsid w:val="001A1028"/>
    <w:rsid w:val="001B062F"/>
    <w:rsid w:val="001B293E"/>
    <w:rsid w:val="001B2B4D"/>
    <w:rsid w:val="001B60EA"/>
    <w:rsid w:val="001B65A9"/>
    <w:rsid w:val="001C00C8"/>
    <w:rsid w:val="001C37EC"/>
    <w:rsid w:val="001C444B"/>
    <w:rsid w:val="001C5454"/>
    <w:rsid w:val="001C5FD0"/>
    <w:rsid w:val="001C6FF9"/>
    <w:rsid w:val="001C7171"/>
    <w:rsid w:val="001D09B8"/>
    <w:rsid w:val="001D1089"/>
    <w:rsid w:val="001D197E"/>
    <w:rsid w:val="001D5334"/>
    <w:rsid w:val="001D637E"/>
    <w:rsid w:val="001E1750"/>
    <w:rsid w:val="001E24D4"/>
    <w:rsid w:val="001E24EC"/>
    <w:rsid w:val="001E4025"/>
    <w:rsid w:val="001E457C"/>
    <w:rsid w:val="001F0816"/>
    <w:rsid w:val="001F36DA"/>
    <w:rsid w:val="001F65C5"/>
    <w:rsid w:val="001F789E"/>
    <w:rsid w:val="002022B9"/>
    <w:rsid w:val="0020598C"/>
    <w:rsid w:val="00210B61"/>
    <w:rsid w:val="002111EE"/>
    <w:rsid w:val="0021146E"/>
    <w:rsid w:val="00211F82"/>
    <w:rsid w:val="002122D4"/>
    <w:rsid w:val="002139C7"/>
    <w:rsid w:val="00213DC0"/>
    <w:rsid w:val="00213E95"/>
    <w:rsid w:val="00221DFE"/>
    <w:rsid w:val="002233D4"/>
    <w:rsid w:val="00224A07"/>
    <w:rsid w:val="00226C5A"/>
    <w:rsid w:val="002270C1"/>
    <w:rsid w:val="00231B86"/>
    <w:rsid w:val="00231EBE"/>
    <w:rsid w:val="00232600"/>
    <w:rsid w:val="00232FE3"/>
    <w:rsid w:val="0024268A"/>
    <w:rsid w:val="00244A46"/>
    <w:rsid w:val="00253115"/>
    <w:rsid w:val="00254079"/>
    <w:rsid w:val="0026303E"/>
    <w:rsid w:val="00263EE2"/>
    <w:rsid w:val="00265A3A"/>
    <w:rsid w:val="002661EC"/>
    <w:rsid w:val="002669B6"/>
    <w:rsid w:val="0027025F"/>
    <w:rsid w:val="00270E32"/>
    <w:rsid w:val="002710B8"/>
    <w:rsid w:val="002713E0"/>
    <w:rsid w:val="00271715"/>
    <w:rsid w:val="00272A85"/>
    <w:rsid w:val="00274233"/>
    <w:rsid w:val="00282C2B"/>
    <w:rsid w:val="00287E6F"/>
    <w:rsid w:val="0029068E"/>
    <w:rsid w:val="00294BC6"/>
    <w:rsid w:val="00294D2F"/>
    <w:rsid w:val="002A412F"/>
    <w:rsid w:val="002B09AE"/>
    <w:rsid w:val="002B7143"/>
    <w:rsid w:val="002B7907"/>
    <w:rsid w:val="002B7DA7"/>
    <w:rsid w:val="002C47BC"/>
    <w:rsid w:val="002C54F5"/>
    <w:rsid w:val="002D0011"/>
    <w:rsid w:val="002D1809"/>
    <w:rsid w:val="002D35C0"/>
    <w:rsid w:val="002D38E5"/>
    <w:rsid w:val="002D486B"/>
    <w:rsid w:val="002D489D"/>
    <w:rsid w:val="002D748B"/>
    <w:rsid w:val="002E1565"/>
    <w:rsid w:val="002E5BA7"/>
    <w:rsid w:val="002F0140"/>
    <w:rsid w:val="002F0219"/>
    <w:rsid w:val="002F6E69"/>
    <w:rsid w:val="00300356"/>
    <w:rsid w:val="00301BBA"/>
    <w:rsid w:val="0030390E"/>
    <w:rsid w:val="00304325"/>
    <w:rsid w:val="00311702"/>
    <w:rsid w:val="0031481E"/>
    <w:rsid w:val="0031518E"/>
    <w:rsid w:val="00316B3F"/>
    <w:rsid w:val="003171C0"/>
    <w:rsid w:val="003207A7"/>
    <w:rsid w:val="00322604"/>
    <w:rsid w:val="00323FD0"/>
    <w:rsid w:val="00324F4C"/>
    <w:rsid w:val="00326A28"/>
    <w:rsid w:val="00327639"/>
    <w:rsid w:val="00327C90"/>
    <w:rsid w:val="00331F0D"/>
    <w:rsid w:val="0033493C"/>
    <w:rsid w:val="00335733"/>
    <w:rsid w:val="003369FE"/>
    <w:rsid w:val="00341E6C"/>
    <w:rsid w:val="003425AA"/>
    <w:rsid w:val="003439FD"/>
    <w:rsid w:val="00344C60"/>
    <w:rsid w:val="00345092"/>
    <w:rsid w:val="00345DCF"/>
    <w:rsid w:val="003466B0"/>
    <w:rsid w:val="00346C30"/>
    <w:rsid w:val="0034701E"/>
    <w:rsid w:val="003473D6"/>
    <w:rsid w:val="0034775A"/>
    <w:rsid w:val="00350E02"/>
    <w:rsid w:val="00354A29"/>
    <w:rsid w:val="003552D1"/>
    <w:rsid w:val="0036187C"/>
    <w:rsid w:val="00362A69"/>
    <w:rsid w:val="00363B33"/>
    <w:rsid w:val="00364D86"/>
    <w:rsid w:val="00366644"/>
    <w:rsid w:val="00366A03"/>
    <w:rsid w:val="00367C74"/>
    <w:rsid w:val="00372FFD"/>
    <w:rsid w:val="003733C9"/>
    <w:rsid w:val="00373C58"/>
    <w:rsid w:val="00374547"/>
    <w:rsid w:val="00376739"/>
    <w:rsid w:val="003772AC"/>
    <w:rsid w:val="0038681E"/>
    <w:rsid w:val="00386AB9"/>
    <w:rsid w:val="00387C92"/>
    <w:rsid w:val="00390ABE"/>
    <w:rsid w:val="00392032"/>
    <w:rsid w:val="003A0A2C"/>
    <w:rsid w:val="003A4E6D"/>
    <w:rsid w:val="003A64C5"/>
    <w:rsid w:val="003A7F3D"/>
    <w:rsid w:val="003B288D"/>
    <w:rsid w:val="003B32A7"/>
    <w:rsid w:val="003B3F67"/>
    <w:rsid w:val="003B4301"/>
    <w:rsid w:val="003B71FC"/>
    <w:rsid w:val="003C0B34"/>
    <w:rsid w:val="003C35F1"/>
    <w:rsid w:val="003C6496"/>
    <w:rsid w:val="003D1BDA"/>
    <w:rsid w:val="003D2F9E"/>
    <w:rsid w:val="003D5BB7"/>
    <w:rsid w:val="003D61D5"/>
    <w:rsid w:val="003D7461"/>
    <w:rsid w:val="003E4711"/>
    <w:rsid w:val="003E5556"/>
    <w:rsid w:val="003E5D24"/>
    <w:rsid w:val="003E7375"/>
    <w:rsid w:val="003E740D"/>
    <w:rsid w:val="003F5D32"/>
    <w:rsid w:val="00400E2C"/>
    <w:rsid w:val="004031BC"/>
    <w:rsid w:val="00405D47"/>
    <w:rsid w:val="00406B46"/>
    <w:rsid w:val="00412B6A"/>
    <w:rsid w:val="00413BC6"/>
    <w:rsid w:val="00416379"/>
    <w:rsid w:val="00435C0A"/>
    <w:rsid w:val="00440A47"/>
    <w:rsid w:val="00443328"/>
    <w:rsid w:val="0044488D"/>
    <w:rsid w:val="00445E78"/>
    <w:rsid w:val="0044702C"/>
    <w:rsid w:val="00454FBB"/>
    <w:rsid w:val="00455FF4"/>
    <w:rsid w:val="004607FD"/>
    <w:rsid w:val="00462348"/>
    <w:rsid w:val="00464D91"/>
    <w:rsid w:val="00465436"/>
    <w:rsid w:val="00465C53"/>
    <w:rsid w:val="00467431"/>
    <w:rsid w:val="0047350E"/>
    <w:rsid w:val="00475CEF"/>
    <w:rsid w:val="00475EDF"/>
    <w:rsid w:val="00477543"/>
    <w:rsid w:val="0047767A"/>
    <w:rsid w:val="00481637"/>
    <w:rsid w:val="004830CB"/>
    <w:rsid w:val="0048482E"/>
    <w:rsid w:val="00484C13"/>
    <w:rsid w:val="00484CC0"/>
    <w:rsid w:val="00484D66"/>
    <w:rsid w:val="00485FDE"/>
    <w:rsid w:val="00487913"/>
    <w:rsid w:val="00490C6B"/>
    <w:rsid w:val="00492973"/>
    <w:rsid w:val="004A0F9B"/>
    <w:rsid w:val="004A1579"/>
    <w:rsid w:val="004A6C50"/>
    <w:rsid w:val="004A6E98"/>
    <w:rsid w:val="004B0533"/>
    <w:rsid w:val="004B7583"/>
    <w:rsid w:val="004C1C7B"/>
    <w:rsid w:val="004C3648"/>
    <w:rsid w:val="004C399B"/>
    <w:rsid w:val="004C43C7"/>
    <w:rsid w:val="004C51CA"/>
    <w:rsid w:val="004C6442"/>
    <w:rsid w:val="004C6B98"/>
    <w:rsid w:val="004C7193"/>
    <w:rsid w:val="004D043F"/>
    <w:rsid w:val="004D225B"/>
    <w:rsid w:val="004D56E2"/>
    <w:rsid w:val="004E2640"/>
    <w:rsid w:val="004F01C6"/>
    <w:rsid w:val="004F1E6C"/>
    <w:rsid w:val="004F2701"/>
    <w:rsid w:val="004F2B79"/>
    <w:rsid w:val="004F6772"/>
    <w:rsid w:val="0050040E"/>
    <w:rsid w:val="00500863"/>
    <w:rsid w:val="005011D4"/>
    <w:rsid w:val="005039A7"/>
    <w:rsid w:val="00505B64"/>
    <w:rsid w:val="00506738"/>
    <w:rsid w:val="005108F0"/>
    <w:rsid w:val="005109A3"/>
    <w:rsid w:val="00512FF3"/>
    <w:rsid w:val="0051675E"/>
    <w:rsid w:val="00522F0F"/>
    <w:rsid w:val="005233EC"/>
    <w:rsid w:val="00525758"/>
    <w:rsid w:val="00527621"/>
    <w:rsid w:val="0053096A"/>
    <w:rsid w:val="0053153E"/>
    <w:rsid w:val="00531E3D"/>
    <w:rsid w:val="005344D3"/>
    <w:rsid w:val="00536282"/>
    <w:rsid w:val="005373CB"/>
    <w:rsid w:val="0053776B"/>
    <w:rsid w:val="00540F27"/>
    <w:rsid w:val="00543249"/>
    <w:rsid w:val="0054412E"/>
    <w:rsid w:val="0054677A"/>
    <w:rsid w:val="00546D16"/>
    <w:rsid w:val="00547154"/>
    <w:rsid w:val="00551ED0"/>
    <w:rsid w:val="00555B87"/>
    <w:rsid w:val="00561B5E"/>
    <w:rsid w:val="005646A8"/>
    <w:rsid w:val="00565412"/>
    <w:rsid w:val="00567075"/>
    <w:rsid w:val="00574539"/>
    <w:rsid w:val="005755A8"/>
    <w:rsid w:val="00575C23"/>
    <w:rsid w:val="00577962"/>
    <w:rsid w:val="00581D98"/>
    <w:rsid w:val="005831C6"/>
    <w:rsid w:val="00585BC9"/>
    <w:rsid w:val="0059306C"/>
    <w:rsid w:val="00594782"/>
    <w:rsid w:val="00594ACF"/>
    <w:rsid w:val="005967A0"/>
    <w:rsid w:val="005A1892"/>
    <w:rsid w:val="005A21B3"/>
    <w:rsid w:val="005A40D3"/>
    <w:rsid w:val="005A519A"/>
    <w:rsid w:val="005A592F"/>
    <w:rsid w:val="005B024D"/>
    <w:rsid w:val="005B2496"/>
    <w:rsid w:val="005B297E"/>
    <w:rsid w:val="005B2B10"/>
    <w:rsid w:val="005C18B7"/>
    <w:rsid w:val="005C1C2D"/>
    <w:rsid w:val="005C1FA3"/>
    <w:rsid w:val="005C3252"/>
    <w:rsid w:val="005D2513"/>
    <w:rsid w:val="005D2DC7"/>
    <w:rsid w:val="005D4E72"/>
    <w:rsid w:val="005D599A"/>
    <w:rsid w:val="005D6B39"/>
    <w:rsid w:val="005D7FCC"/>
    <w:rsid w:val="005E134E"/>
    <w:rsid w:val="005E16E7"/>
    <w:rsid w:val="005E36BC"/>
    <w:rsid w:val="005E6413"/>
    <w:rsid w:val="005F0341"/>
    <w:rsid w:val="005F1C91"/>
    <w:rsid w:val="005F2D23"/>
    <w:rsid w:val="005F3F69"/>
    <w:rsid w:val="005F3F70"/>
    <w:rsid w:val="005F430E"/>
    <w:rsid w:val="005F4BA3"/>
    <w:rsid w:val="005F61D9"/>
    <w:rsid w:val="005F7113"/>
    <w:rsid w:val="006003F1"/>
    <w:rsid w:val="006007ED"/>
    <w:rsid w:val="00602C9D"/>
    <w:rsid w:val="00612A26"/>
    <w:rsid w:val="00613A94"/>
    <w:rsid w:val="00617765"/>
    <w:rsid w:val="00620166"/>
    <w:rsid w:val="006204B9"/>
    <w:rsid w:val="0062208B"/>
    <w:rsid w:val="006221DE"/>
    <w:rsid w:val="006238B2"/>
    <w:rsid w:val="006247E4"/>
    <w:rsid w:val="00625903"/>
    <w:rsid w:val="00630A0B"/>
    <w:rsid w:val="006330B8"/>
    <w:rsid w:val="00634C53"/>
    <w:rsid w:val="006360A9"/>
    <w:rsid w:val="00636296"/>
    <w:rsid w:val="00640B31"/>
    <w:rsid w:val="006431B4"/>
    <w:rsid w:val="006443FD"/>
    <w:rsid w:val="00645818"/>
    <w:rsid w:val="00652976"/>
    <w:rsid w:val="00653A44"/>
    <w:rsid w:val="00656FD5"/>
    <w:rsid w:val="00661964"/>
    <w:rsid w:val="00665DCB"/>
    <w:rsid w:val="006671A4"/>
    <w:rsid w:val="00667CBE"/>
    <w:rsid w:val="00671D18"/>
    <w:rsid w:val="00675CA1"/>
    <w:rsid w:val="00676472"/>
    <w:rsid w:val="006846DB"/>
    <w:rsid w:val="00684D1E"/>
    <w:rsid w:val="00691463"/>
    <w:rsid w:val="00694C54"/>
    <w:rsid w:val="0069671E"/>
    <w:rsid w:val="00697B52"/>
    <w:rsid w:val="00697B94"/>
    <w:rsid w:val="006A0235"/>
    <w:rsid w:val="006A50AB"/>
    <w:rsid w:val="006A54D4"/>
    <w:rsid w:val="006A5E5E"/>
    <w:rsid w:val="006A6721"/>
    <w:rsid w:val="006A728B"/>
    <w:rsid w:val="006B0730"/>
    <w:rsid w:val="006B0D78"/>
    <w:rsid w:val="006B2173"/>
    <w:rsid w:val="006B4876"/>
    <w:rsid w:val="006B5892"/>
    <w:rsid w:val="006C2EC5"/>
    <w:rsid w:val="006C3613"/>
    <w:rsid w:val="006C48DF"/>
    <w:rsid w:val="006D2734"/>
    <w:rsid w:val="006D6890"/>
    <w:rsid w:val="006E0A8D"/>
    <w:rsid w:val="006E3ADD"/>
    <w:rsid w:val="006E4181"/>
    <w:rsid w:val="006E5339"/>
    <w:rsid w:val="006F187B"/>
    <w:rsid w:val="006F28B3"/>
    <w:rsid w:val="006F4106"/>
    <w:rsid w:val="006F7571"/>
    <w:rsid w:val="007023BD"/>
    <w:rsid w:val="00703E1B"/>
    <w:rsid w:val="00705024"/>
    <w:rsid w:val="00706CC7"/>
    <w:rsid w:val="00713691"/>
    <w:rsid w:val="007155F8"/>
    <w:rsid w:val="00715A52"/>
    <w:rsid w:val="00720089"/>
    <w:rsid w:val="00731F18"/>
    <w:rsid w:val="00733E4A"/>
    <w:rsid w:val="007348EB"/>
    <w:rsid w:val="00734B6D"/>
    <w:rsid w:val="00735892"/>
    <w:rsid w:val="007363D5"/>
    <w:rsid w:val="00740894"/>
    <w:rsid w:val="00740FE1"/>
    <w:rsid w:val="00741887"/>
    <w:rsid w:val="0074314A"/>
    <w:rsid w:val="00746456"/>
    <w:rsid w:val="00747FD9"/>
    <w:rsid w:val="007532AF"/>
    <w:rsid w:val="007538FE"/>
    <w:rsid w:val="00755A8E"/>
    <w:rsid w:val="00756EBC"/>
    <w:rsid w:val="00760C8A"/>
    <w:rsid w:val="0077070A"/>
    <w:rsid w:val="00774489"/>
    <w:rsid w:val="0077775C"/>
    <w:rsid w:val="00777786"/>
    <w:rsid w:val="00780FDF"/>
    <w:rsid w:val="00782411"/>
    <w:rsid w:val="00784D97"/>
    <w:rsid w:val="00785682"/>
    <w:rsid w:val="00785894"/>
    <w:rsid w:val="00786A22"/>
    <w:rsid w:val="0078718E"/>
    <w:rsid w:val="00791675"/>
    <w:rsid w:val="00792E30"/>
    <w:rsid w:val="0079788A"/>
    <w:rsid w:val="007A0649"/>
    <w:rsid w:val="007A48A4"/>
    <w:rsid w:val="007B2ABD"/>
    <w:rsid w:val="007B2AFC"/>
    <w:rsid w:val="007B5587"/>
    <w:rsid w:val="007B5B83"/>
    <w:rsid w:val="007B5DF4"/>
    <w:rsid w:val="007C02D1"/>
    <w:rsid w:val="007C2DA9"/>
    <w:rsid w:val="007C3D7C"/>
    <w:rsid w:val="007C5869"/>
    <w:rsid w:val="007D0905"/>
    <w:rsid w:val="007D1DFB"/>
    <w:rsid w:val="007D2D78"/>
    <w:rsid w:val="007D2EFF"/>
    <w:rsid w:val="007E068D"/>
    <w:rsid w:val="007E250F"/>
    <w:rsid w:val="007E76E9"/>
    <w:rsid w:val="007F197F"/>
    <w:rsid w:val="007F4E22"/>
    <w:rsid w:val="00810EA6"/>
    <w:rsid w:val="00812E17"/>
    <w:rsid w:val="00814B7C"/>
    <w:rsid w:val="00814DA0"/>
    <w:rsid w:val="008151FA"/>
    <w:rsid w:val="008165E2"/>
    <w:rsid w:val="00820FFC"/>
    <w:rsid w:val="00823109"/>
    <w:rsid w:val="008257E6"/>
    <w:rsid w:val="00831F19"/>
    <w:rsid w:val="008377F0"/>
    <w:rsid w:val="008378E6"/>
    <w:rsid w:val="00843D50"/>
    <w:rsid w:val="00843FF0"/>
    <w:rsid w:val="008470E2"/>
    <w:rsid w:val="00850453"/>
    <w:rsid w:val="00853EFF"/>
    <w:rsid w:val="00861BC7"/>
    <w:rsid w:val="00862A2F"/>
    <w:rsid w:val="0086412E"/>
    <w:rsid w:val="008641C3"/>
    <w:rsid w:val="00865B91"/>
    <w:rsid w:val="00867982"/>
    <w:rsid w:val="0087036D"/>
    <w:rsid w:val="00871078"/>
    <w:rsid w:val="00874270"/>
    <w:rsid w:val="00875837"/>
    <w:rsid w:val="00876ED2"/>
    <w:rsid w:val="00877705"/>
    <w:rsid w:val="0088003F"/>
    <w:rsid w:val="00881A1C"/>
    <w:rsid w:val="00883F39"/>
    <w:rsid w:val="0088746A"/>
    <w:rsid w:val="0089022B"/>
    <w:rsid w:val="00891E1A"/>
    <w:rsid w:val="00893086"/>
    <w:rsid w:val="008A0CFF"/>
    <w:rsid w:val="008A3A8A"/>
    <w:rsid w:val="008A5379"/>
    <w:rsid w:val="008A621E"/>
    <w:rsid w:val="008A6293"/>
    <w:rsid w:val="008B2D73"/>
    <w:rsid w:val="008B4D3E"/>
    <w:rsid w:val="008B7919"/>
    <w:rsid w:val="008C04AD"/>
    <w:rsid w:val="008C36CB"/>
    <w:rsid w:val="008C697A"/>
    <w:rsid w:val="008C6AE2"/>
    <w:rsid w:val="008D1A06"/>
    <w:rsid w:val="008D1BEE"/>
    <w:rsid w:val="008D7064"/>
    <w:rsid w:val="008D7A9D"/>
    <w:rsid w:val="008E2141"/>
    <w:rsid w:val="008E3D87"/>
    <w:rsid w:val="008E5BA4"/>
    <w:rsid w:val="009104D6"/>
    <w:rsid w:val="00911268"/>
    <w:rsid w:val="009205D2"/>
    <w:rsid w:val="009205EB"/>
    <w:rsid w:val="00921B10"/>
    <w:rsid w:val="009220D0"/>
    <w:rsid w:val="00922BB5"/>
    <w:rsid w:val="0092312F"/>
    <w:rsid w:val="0092699B"/>
    <w:rsid w:val="00934D21"/>
    <w:rsid w:val="00935267"/>
    <w:rsid w:val="009353FA"/>
    <w:rsid w:val="0093745D"/>
    <w:rsid w:val="00945D59"/>
    <w:rsid w:val="009560E0"/>
    <w:rsid w:val="00963ED2"/>
    <w:rsid w:val="00965BEF"/>
    <w:rsid w:val="00965E5C"/>
    <w:rsid w:val="00967FD9"/>
    <w:rsid w:val="00972343"/>
    <w:rsid w:val="009741DF"/>
    <w:rsid w:val="0097607F"/>
    <w:rsid w:val="009774BB"/>
    <w:rsid w:val="00980122"/>
    <w:rsid w:val="00983A42"/>
    <w:rsid w:val="00987810"/>
    <w:rsid w:val="0099140F"/>
    <w:rsid w:val="009915DE"/>
    <w:rsid w:val="0099689B"/>
    <w:rsid w:val="009971C2"/>
    <w:rsid w:val="009A39FE"/>
    <w:rsid w:val="009A3A32"/>
    <w:rsid w:val="009A3A68"/>
    <w:rsid w:val="009A4C19"/>
    <w:rsid w:val="009B0E03"/>
    <w:rsid w:val="009B6761"/>
    <w:rsid w:val="009B7616"/>
    <w:rsid w:val="009C2E7D"/>
    <w:rsid w:val="009C4325"/>
    <w:rsid w:val="009D19A6"/>
    <w:rsid w:val="009D3668"/>
    <w:rsid w:val="009D7733"/>
    <w:rsid w:val="009E0A44"/>
    <w:rsid w:val="009E0E1C"/>
    <w:rsid w:val="009E1EC7"/>
    <w:rsid w:val="009E2932"/>
    <w:rsid w:val="009E5FCC"/>
    <w:rsid w:val="009E60A7"/>
    <w:rsid w:val="009F0B1D"/>
    <w:rsid w:val="009F1395"/>
    <w:rsid w:val="009F5CC6"/>
    <w:rsid w:val="00A0055B"/>
    <w:rsid w:val="00A006C8"/>
    <w:rsid w:val="00A02392"/>
    <w:rsid w:val="00A05869"/>
    <w:rsid w:val="00A121E0"/>
    <w:rsid w:val="00A23431"/>
    <w:rsid w:val="00A30456"/>
    <w:rsid w:val="00A33173"/>
    <w:rsid w:val="00A35A34"/>
    <w:rsid w:val="00A4118E"/>
    <w:rsid w:val="00A44FD1"/>
    <w:rsid w:val="00A45304"/>
    <w:rsid w:val="00A63459"/>
    <w:rsid w:val="00A63BB9"/>
    <w:rsid w:val="00A65852"/>
    <w:rsid w:val="00A66FB6"/>
    <w:rsid w:val="00A674AA"/>
    <w:rsid w:val="00A71E40"/>
    <w:rsid w:val="00A72282"/>
    <w:rsid w:val="00A72C5C"/>
    <w:rsid w:val="00A7352E"/>
    <w:rsid w:val="00A75E8E"/>
    <w:rsid w:val="00A8145E"/>
    <w:rsid w:val="00A81B3B"/>
    <w:rsid w:val="00A82F10"/>
    <w:rsid w:val="00A839C1"/>
    <w:rsid w:val="00A843B6"/>
    <w:rsid w:val="00A86088"/>
    <w:rsid w:val="00A879B5"/>
    <w:rsid w:val="00A903A0"/>
    <w:rsid w:val="00A91F76"/>
    <w:rsid w:val="00A92890"/>
    <w:rsid w:val="00A92D71"/>
    <w:rsid w:val="00A95535"/>
    <w:rsid w:val="00A970C8"/>
    <w:rsid w:val="00AA271B"/>
    <w:rsid w:val="00AA3273"/>
    <w:rsid w:val="00AA7CCE"/>
    <w:rsid w:val="00AB28FC"/>
    <w:rsid w:val="00AB2B45"/>
    <w:rsid w:val="00AB2E00"/>
    <w:rsid w:val="00AC24E3"/>
    <w:rsid w:val="00AC5C42"/>
    <w:rsid w:val="00AD2628"/>
    <w:rsid w:val="00AD2AC8"/>
    <w:rsid w:val="00AD40CF"/>
    <w:rsid w:val="00AE086D"/>
    <w:rsid w:val="00AE283B"/>
    <w:rsid w:val="00AE2F92"/>
    <w:rsid w:val="00AE595F"/>
    <w:rsid w:val="00AF55FE"/>
    <w:rsid w:val="00B0120F"/>
    <w:rsid w:val="00B062C2"/>
    <w:rsid w:val="00B06810"/>
    <w:rsid w:val="00B06A8C"/>
    <w:rsid w:val="00B14645"/>
    <w:rsid w:val="00B15167"/>
    <w:rsid w:val="00B15463"/>
    <w:rsid w:val="00B165E0"/>
    <w:rsid w:val="00B17819"/>
    <w:rsid w:val="00B17A76"/>
    <w:rsid w:val="00B25757"/>
    <w:rsid w:val="00B25FC1"/>
    <w:rsid w:val="00B271A4"/>
    <w:rsid w:val="00B3021D"/>
    <w:rsid w:val="00B414AC"/>
    <w:rsid w:val="00B41D30"/>
    <w:rsid w:val="00B42634"/>
    <w:rsid w:val="00B44470"/>
    <w:rsid w:val="00B46081"/>
    <w:rsid w:val="00B51DA0"/>
    <w:rsid w:val="00B51E38"/>
    <w:rsid w:val="00B52084"/>
    <w:rsid w:val="00B52E49"/>
    <w:rsid w:val="00B53C30"/>
    <w:rsid w:val="00B56144"/>
    <w:rsid w:val="00B61CF6"/>
    <w:rsid w:val="00B624D7"/>
    <w:rsid w:val="00B6782E"/>
    <w:rsid w:val="00B709E2"/>
    <w:rsid w:val="00B709FC"/>
    <w:rsid w:val="00B70F34"/>
    <w:rsid w:val="00B8067A"/>
    <w:rsid w:val="00B81B7C"/>
    <w:rsid w:val="00B85F99"/>
    <w:rsid w:val="00B867BA"/>
    <w:rsid w:val="00B9092C"/>
    <w:rsid w:val="00B92962"/>
    <w:rsid w:val="00B94728"/>
    <w:rsid w:val="00B96A90"/>
    <w:rsid w:val="00B96BDA"/>
    <w:rsid w:val="00BA49FB"/>
    <w:rsid w:val="00BA7713"/>
    <w:rsid w:val="00BB1A60"/>
    <w:rsid w:val="00BB257A"/>
    <w:rsid w:val="00BB44A5"/>
    <w:rsid w:val="00BB5DDA"/>
    <w:rsid w:val="00BB62C8"/>
    <w:rsid w:val="00BB6C0B"/>
    <w:rsid w:val="00BC40F0"/>
    <w:rsid w:val="00BD111A"/>
    <w:rsid w:val="00BD719C"/>
    <w:rsid w:val="00BE1197"/>
    <w:rsid w:val="00BE1BE1"/>
    <w:rsid w:val="00BE3135"/>
    <w:rsid w:val="00BE40CF"/>
    <w:rsid w:val="00BE4A0B"/>
    <w:rsid w:val="00BF0368"/>
    <w:rsid w:val="00BF1E29"/>
    <w:rsid w:val="00C05A9B"/>
    <w:rsid w:val="00C06766"/>
    <w:rsid w:val="00C06E6D"/>
    <w:rsid w:val="00C07719"/>
    <w:rsid w:val="00C119E0"/>
    <w:rsid w:val="00C13873"/>
    <w:rsid w:val="00C15019"/>
    <w:rsid w:val="00C22A00"/>
    <w:rsid w:val="00C306DB"/>
    <w:rsid w:val="00C3076E"/>
    <w:rsid w:val="00C35C96"/>
    <w:rsid w:val="00C35D5D"/>
    <w:rsid w:val="00C364D6"/>
    <w:rsid w:val="00C41AF1"/>
    <w:rsid w:val="00C42808"/>
    <w:rsid w:val="00C434B0"/>
    <w:rsid w:val="00C515BF"/>
    <w:rsid w:val="00C52A1F"/>
    <w:rsid w:val="00C567A3"/>
    <w:rsid w:val="00C57211"/>
    <w:rsid w:val="00C600D6"/>
    <w:rsid w:val="00C61290"/>
    <w:rsid w:val="00C63755"/>
    <w:rsid w:val="00C64A20"/>
    <w:rsid w:val="00C6666A"/>
    <w:rsid w:val="00C703EA"/>
    <w:rsid w:val="00C74384"/>
    <w:rsid w:val="00C7560F"/>
    <w:rsid w:val="00C76465"/>
    <w:rsid w:val="00C77B18"/>
    <w:rsid w:val="00C81BF7"/>
    <w:rsid w:val="00C82757"/>
    <w:rsid w:val="00C83FDD"/>
    <w:rsid w:val="00C85C36"/>
    <w:rsid w:val="00C85D8A"/>
    <w:rsid w:val="00C863D4"/>
    <w:rsid w:val="00C869AC"/>
    <w:rsid w:val="00CA0608"/>
    <w:rsid w:val="00CA0A54"/>
    <w:rsid w:val="00CB09CA"/>
    <w:rsid w:val="00CB0C69"/>
    <w:rsid w:val="00CB1D6E"/>
    <w:rsid w:val="00CB3256"/>
    <w:rsid w:val="00CC2894"/>
    <w:rsid w:val="00CC4038"/>
    <w:rsid w:val="00CC5805"/>
    <w:rsid w:val="00CD0F4A"/>
    <w:rsid w:val="00CE0139"/>
    <w:rsid w:val="00CE01D8"/>
    <w:rsid w:val="00CE2802"/>
    <w:rsid w:val="00CF076F"/>
    <w:rsid w:val="00CF15F8"/>
    <w:rsid w:val="00CF564F"/>
    <w:rsid w:val="00CF7C81"/>
    <w:rsid w:val="00D06B98"/>
    <w:rsid w:val="00D12BEA"/>
    <w:rsid w:val="00D1793C"/>
    <w:rsid w:val="00D2442B"/>
    <w:rsid w:val="00D24A20"/>
    <w:rsid w:val="00D27621"/>
    <w:rsid w:val="00D30E34"/>
    <w:rsid w:val="00D318F4"/>
    <w:rsid w:val="00D31DBB"/>
    <w:rsid w:val="00D3510F"/>
    <w:rsid w:val="00D36154"/>
    <w:rsid w:val="00D366B3"/>
    <w:rsid w:val="00D40ECB"/>
    <w:rsid w:val="00D4439A"/>
    <w:rsid w:val="00D46B4C"/>
    <w:rsid w:val="00D46B74"/>
    <w:rsid w:val="00D52159"/>
    <w:rsid w:val="00D52E85"/>
    <w:rsid w:val="00D548A9"/>
    <w:rsid w:val="00D55F96"/>
    <w:rsid w:val="00D63781"/>
    <w:rsid w:val="00D63970"/>
    <w:rsid w:val="00D672A9"/>
    <w:rsid w:val="00D67539"/>
    <w:rsid w:val="00D746B3"/>
    <w:rsid w:val="00D746FC"/>
    <w:rsid w:val="00D751EC"/>
    <w:rsid w:val="00D75B5B"/>
    <w:rsid w:val="00D76590"/>
    <w:rsid w:val="00D77EF0"/>
    <w:rsid w:val="00D80C7C"/>
    <w:rsid w:val="00D81063"/>
    <w:rsid w:val="00D86429"/>
    <w:rsid w:val="00D8759A"/>
    <w:rsid w:val="00D87648"/>
    <w:rsid w:val="00D9080F"/>
    <w:rsid w:val="00D908C3"/>
    <w:rsid w:val="00D9327A"/>
    <w:rsid w:val="00D93A23"/>
    <w:rsid w:val="00D949F7"/>
    <w:rsid w:val="00D970D5"/>
    <w:rsid w:val="00D97195"/>
    <w:rsid w:val="00D971B4"/>
    <w:rsid w:val="00DA0B8E"/>
    <w:rsid w:val="00DA4FA5"/>
    <w:rsid w:val="00DB337C"/>
    <w:rsid w:val="00DB4A98"/>
    <w:rsid w:val="00DB6188"/>
    <w:rsid w:val="00DB6874"/>
    <w:rsid w:val="00DB72F2"/>
    <w:rsid w:val="00DC2CC1"/>
    <w:rsid w:val="00DC7D38"/>
    <w:rsid w:val="00DD075B"/>
    <w:rsid w:val="00DD2032"/>
    <w:rsid w:val="00DD56FE"/>
    <w:rsid w:val="00DD667B"/>
    <w:rsid w:val="00DD6CC2"/>
    <w:rsid w:val="00DE332A"/>
    <w:rsid w:val="00DE3C7F"/>
    <w:rsid w:val="00DE536C"/>
    <w:rsid w:val="00DF3395"/>
    <w:rsid w:val="00DF3D10"/>
    <w:rsid w:val="00DF74F0"/>
    <w:rsid w:val="00E00E61"/>
    <w:rsid w:val="00E0315F"/>
    <w:rsid w:val="00E03A96"/>
    <w:rsid w:val="00E13F48"/>
    <w:rsid w:val="00E1422B"/>
    <w:rsid w:val="00E16A89"/>
    <w:rsid w:val="00E22462"/>
    <w:rsid w:val="00E23138"/>
    <w:rsid w:val="00E23549"/>
    <w:rsid w:val="00E25D51"/>
    <w:rsid w:val="00E26850"/>
    <w:rsid w:val="00E27409"/>
    <w:rsid w:val="00E2757E"/>
    <w:rsid w:val="00E30C9E"/>
    <w:rsid w:val="00E31164"/>
    <w:rsid w:val="00E32F8F"/>
    <w:rsid w:val="00E37026"/>
    <w:rsid w:val="00E41CA1"/>
    <w:rsid w:val="00E41EB6"/>
    <w:rsid w:val="00E42853"/>
    <w:rsid w:val="00E43BF9"/>
    <w:rsid w:val="00E46181"/>
    <w:rsid w:val="00E50120"/>
    <w:rsid w:val="00E533D5"/>
    <w:rsid w:val="00E55584"/>
    <w:rsid w:val="00E558F4"/>
    <w:rsid w:val="00E634E2"/>
    <w:rsid w:val="00E65E82"/>
    <w:rsid w:val="00E661C3"/>
    <w:rsid w:val="00E708A1"/>
    <w:rsid w:val="00E71BA9"/>
    <w:rsid w:val="00E71CE8"/>
    <w:rsid w:val="00E74AB7"/>
    <w:rsid w:val="00E771A2"/>
    <w:rsid w:val="00E80BAB"/>
    <w:rsid w:val="00E80D85"/>
    <w:rsid w:val="00E81A5D"/>
    <w:rsid w:val="00E839DE"/>
    <w:rsid w:val="00E86A5F"/>
    <w:rsid w:val="00E873C2"/>
    <w:rsid w:val="00E91B7F"/>
    <w:rsid w:val="00EA03C9"/>
    <w:rsid w:val="00EA1878"/>
    <w:rsid w:val="00EA1A64"/>
    <w:rsid w:val="00EA1E74"/>
    <w:rsid w:val="00EA3766"/>
    <w:rsid w:val="00EA3C4D"/>
    <w:rsid w:val="00EA4BC3"/>
    <w:rsid w:val="00EA5E4D"/>
    <w:rsid w:val="00EA7745"/>
    <w:rsid w:val="00EB21BF"/>
    <w:rsid w:val="00EB25B2"/>
    <w:rsid w:val="00EB2665"/>
    <w:rsid w:val="00EB6214"/>
    <w:rsid w:val="00EB79FB"/>
    <w:rsid w:val="00EC1554"/>
    <w:rsid w:val="00EC2025"/>
    <w:rsid w:val="00EC2E43"/>
    <w:rsid w:val="00EC3566"/>
    <w:rsid w:val="00EC3CC3"/>
    <w:rsid w:val="00EC5B08"/>
    <w:rsid w:val="00EC623C"/>
    <w:rsid w:val="00EC7B7A"/>
    <w:rsid w:val="00EC7B9C"/>
    <w:rsid w:val="00ED2A40"/>
    <w:rsid w:val="00ED3294"/>
    <w:rsid w:val="00ED56EF"/>
    <w:rsid w:val="00ED6A00"/>
    <w:rsid w:val="00EE115B"/>
    <w:rsid w:val="00EE1C5A"/>
    <w:rsid w:val="00EE1FB1"/>
    <w:rsid w:val="00EE2607"/>
    <w:rsid w:val="00EE413D"/>
    <w:rsid w:val="00EE5778"/>
    <w:rsid w:val="00EE6CC3"/>
    <w:rsid w:val="00EE78E1"/>
    <w:rsid w:val="00EF09A3"/>
    <w:rsid w:val="00EF11F9"/>
    <w:rsid w:val="00F00C18"/>
    <w:rsid w:val="00F012AE"/>
    <w:rsid w:val="00F03A19"/>
    <w:rsid w:val="00F04DC6"/>
    <w:rsid w:val="00F079BE"/>
    <w:rsid w:val="00F07D0D"/>
    <w:rsid w:val="00F104D7"/>
    <w:rsid w:val="00F13B0F"/>
    <w:rsid w:val="00F211C6"/>
    <w:rsid w:val="00F25922"/>
    <w:rsid w:val="00F2686A"/>
    <w:rsid w:val="00F277B2"/>
    <w:rsid w:val="00F37E69"/>
    <w:rsid w:val="00F408D6"/>
    <w:rsid w:val="00F44AB5"/>
    <w:rsid w:val="00F50C7B"/>
    <w:rsid w:val="00F523E5"/>
    <w:rsid w:val="00F54182"/>
    <w:rsid w:val="00F55095"/>
    <w:rsid w:val="00F55939"/>
    <w:rsid w:val="00F601D0"/>
    <w:rsid w:val="00F65E1A"/>
    <w:rsid w:val="00F702EB"/>
    <w:rsid w:val="00F71C18"/>
    <w:rsid w:val="00F71E19"/>
    <w:rsid w:val="00F72127"/>
    <w:rsid w:val="00F74217"/>
    <w:rsid w:val="00F74C73"/>
    <w:rsid w:val="00F74D3C"/>
    <w:rsid w:val="00F75283"/>
    <w:rsid w:val="00F753CF"/>
    <w:rsid w:val="00F76F11"/>
    <w:rsid w:val="00F8064C"/>
    <w:rsid w:val="00F82E0A"/>
    <w:rsid w:val="00F8579E"/>
    <w:rsid w:val="00F859D5"/>
    <w:rsid w:val="00F90260"/>
    <w:rsid w:val="00F91188"/>
    <w:rsid w:val="00F96274"/>
    <w:rsid w:val="00FB012D"/>
    <w:rsid w:val="00FB1075"/>
    <w:rsid w:val="00FB326A"/>
    <w:rsid w:val="00FB6CB9"/>
    <w:rsid w:val="00FC03D4"/>
    <w:rsid w:val="00FC08C3"/>
    <w:rsid w:val="00FC1C9C"/>
    <w:rsid w:val="00FD1922"/>
    <w:rsid w:val="00FD1A1E"/>
    <w:rsid w:val="00FE754C"/>
    <w:rsid w:val="00FF6A3B"/>
    <w:rsid w:val="043A3F7F"/>
    <w:rsid w:val="082038E6"/>
    <w:rsid w:val="0B6013F2"/>
    <w:rsid w:val="0E5C209B"/>
    <w:rsid w:val="0E937FF7"/>
    <w:rsid w:val="10196EF9"/>
    <w:rsid w:val="11E164E5"/>
    <w:rsid w:val="11F32620"/>
    <w:rsid w:val="13A85E50"/>
    <w:rsid w:val="164A2BA1"/>
    <w:rsid w:val="18D57CCC"/>
    <w:rsid w:val="19E47E89"/>
    <w:rsid w:val="1B0A43E8"/>
    <w:rsid w:val="1BF52E6D"/>
    <w:rsid w:val="1C2C6E7C"/>
    <w:rsid w:val="22750198"/>
    <w:rsid w:val="257B570D"/>
    <w:rsid w:val="262E6503"/>
    <w:rsid w:val="287A4275"/>
    <w:rsid w:val="2B573438"/>
    <w:rsid w:val="30110AE9"/>
    <w:rsid w:val="34DC77C8"/>
    <w:rsid w:val="36A46DB4"/>
    <w:rsid w:val="3730221B"/>
    <w:rsid w:val="3ACE72C7"/>
    <w:rsid w:val="3CB2519A"/>
    <w:rsid w:val="3E5B60DB"/>
    <w:rsid w:val="3F0D13E8"/>
    <w:rsid w:val="481C0CDA"/>
    <w:rsid w:val="492B471A"/>
    <w:rsid w:val="508C2CB2"/>
    <w:rsid w:val="525E4232"/>
    <w:rsid w:val="54D413B8"/>
    <w:rsid w:val="5A9802AF"/>
    <w:rsid w:val="5D543802"/>
    <w:rsid w:val="5DA7363B"/>
    <w:rsid w:val="5DFF7CEE"/>
    <w:rsid w:val="5F6706D0"/>
    <w:rsid w:val="637F0FCD"/>
    <w:rsid w:val="66007D67"/>
    <w:rsid w:val="67B412FE"/>
    <w:rsid w:val="68D77510"/>
    <w:rsid w:val="760630B0"/>
    <w:rsid w:val="7D260BDE"/>
    <w:rsid w:val="7E67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link w:val="32"/>
    <w:uiPriority w:val="0"/>
    <w:pPr>
      <w:jc w:val="left"/>
    </w:pPr>
  </w:style>
  <w:style w:type="paragraph" w:styleId="4">
    <w:name w:val="Body Text Indent 2"/>
    <w:basedOn w:val="1"/>
    <w:link w:val="16"/>
    <w:uiPriority w:val="0"/>
    <w:pPr>
      <w:ind w:firstLine="640" w:firstLineChars="200"/>
    </w:pPr>
    <w:rPr>
      <w:rFonts w:ascii="楷体_GB2312" w:hAnsi="Courier New" w:eastAsia="楷体_GB2312"/>
      <w:sz w:val="3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60" w:line="312" w:lineRule="auto"/>
      <w:jc w:val="center"/>
      <w:outlineLvl w:val="1"/>
    </w:pPr>
    <w:rPr>
      <w:rFonts w:ascii="Cambria" w:hAnsi="Cambria"/>
      <w:b/>
      <w:bCs/>
      <w:kern w:val="28"/>
      <w:sz w:val="32"/>
      <w:szCs w:val="32"/>
    </w:rPr>
  </w:style>
  <w:style w:type="paragraph" w:styleId="9">
    <w:name w:val="Title"/>
    <w:basedOn w:val="1"/>
    <w:next w:val="1"/>
    <w:link w:val="18"/>
    <w:qFormat/>
    <w:uiPriority w:val="0"/>
    <w:pPr>
      <w:spacing w:before="240" w:after="60"/>
      <w:jc w:val="center"/>
      <w:outlineLvl w:val="0"/>
    </w:pPr>
    <w:rPr>
      <w:rFonts w:ascii="Cambria" w:hAnsi="Cambria"/>
      <w:b/>
      <w:bCs/>
      <w:sz w:val="32"/>
      <w:szCs w:val="32"/>
    </w:rPr>
  </w:style>
  <w:style w:type="paragraph" w:styleId="10">
    <w:name w:val="annotation subject"/>
    <w:basedOn w:val="3"/>
    <w:next w:val="3"/>
    <w:link w:val="33"/>
    <w:uiPriority w:val="0"/>
    <w:rPr>
      <w:b/>
      <w:bCs/>
    </w:rPr>
  </w:style>
  <w:style w:type="character" w:styleId="13">
    <w:name w:val="page number"/>
    <w:uiPriority w:val="0"/>
  </w:style>
  <w:style w:type="character" w:styleId="14">
    <w:name w:val="annotation reference"/>
    <w:uiPriority w:val="0"/>
    <w:rPr>
      <w:sz w:val="21"/>
      <w:szCs w:val="21"/>
    </w:rPr>
  </w:style>
  <w:style w:type="character" w:customStyle="1" w:styleId="15">
    <w:name w:val="文档结构图 字符"/>
    <w:link w:val="2"/>
    <w:uiPriority w:val="0"/>
    <w:rPr>
      <w:rFonts w:ascii="宋体"/>
      <w:kern w:val="2"/>
      <w:sz w:val="18"/>
      <w:szCs w:val="18"/>
    </w:rPr>
  </w:style>
  <w:style w:type="character" w:customStyle="1" w:styleId="16">
    <w:name w:val="正文文本缩进 2 字符"/>
    <w:link w:val="4"/>
    <w:qFormat/>
    <w:uiPriority w:val="0"/>
    <w:rPr>
      <w:rFonts w:ascii="楷体_GB2312" w:hAnsi="Courier New" w:eastAsia="楷体_GB2312"/>
      <w:kern w:val="2"/>
      <w:sz w:val="32"/>
    </w:rPr>
  </w:style>
  <w:style w:type="character" w:customStyle="1" w:styleId="17">
    <w:name w:val="副标题 字符"/>
    <w:link w:val="8"/>
    <w:uiPriority w:val="11"/>
    <w:rPr>
      <w:rFonts w:ascii="Cambria" w:hAnsi="Cambria"/>
      <w:b/>
      <w:bCs/>
      <w:kern w:val="28"/>
      <w:sz w:val="32"/>
      <w:szCs w:val="32"/>
    </w:rPr>
  </w:style>
  <w:style w:type="character" w:customStyle="1" w:styleId="18">
    <w:name w:val="标题 字符"/>
    <w:link w:val="9"/>
    <w:qFormat/>
    <w:uiPriority w:val="0"/>
    <w:rPr>
      <w:rFonts w:ascii="Cambria" w:hAnsi="Cambria"/>
      <w:b/>
      <w:bCs/>
      <w:kern w:val="2"/>
      <w:sz w:val="32"/>
      <w:szCs w:val="32"/>
    </w:rPr>
  </w:style>
  <w:style w:type="paragraph" w:customStyle="1" w:styleId="19">
    <w:name w:val=" Char"/>
    <w:basedOn w:val="1"/>
    <w:qFormat/>
    <w:uiPriority w:val="0"/>
    <w:rPr>
      <w:rFonts w:ascii="Tahoma" w:hAnsi="Tahoma"/>
      <w:sz w:val="24"/>
      <w:szCs w:val="20"/>
    </w:rPr>
  </w:style>
  <w:style w:type="paragraph" w:customStyle="1" w:styleId="20">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21">
    <w:name w:val=" Char Char Char Char Char Char Char Char Char Char Char Char Char Char Char Char"/>
    <w:basedOn w:val="1"/>
    <w:uiPriority w:val="0"/>
    <w:pPr>
      <w:tabs>
        <w:tab w:val="left" w:pos="360"/>
      </w:tabs>
    </w:pPr>
    <w:rPr>
      <w:sz w:val="24"/>
    </w:rPr>
  </w:style>
  <w:style w:type="character" w:customStyle="1" w:styleId="22">
    <w:name w:val="样式 仿宋 三号 Char"/>
    <w:uiPriority w:val="0"/>
    <w:rPr>
      <w:rFonts w:ascii="仿宋" w:hAnsi="仿宋" w:eastAsia="仿宋" w:cs="宋体"/>
      <w:kern w:val="2"/>
      <w:sz w:val="32"/>
      <w:lang w:val="en-US" w:eastAsia="zh-CN" w:bidi="ar-SA"/>
    </w:rPr>
  </w:style>
  <w:style w:type="character" w:customStyle="1" w:styleId="23">
    <w:name w:val="p0{858D7CFB-ED40-4347-BF05-701D383B685F}"/>
    <w:link w:val="24"/>
    <w:uiPriority w:val="0"/>
    <w:rPr>
      <w:szCs w:val="21"/>
    </w:rPr>
  </w:style>
  <w:style w:type="paragraph" w:customStyle="1" w:styleId="24">
    <w:name w:val="p0"/>
    <w:basedOn w:val="1"/>
    <w:link w:val="23"/>
    <w:uiPriority w:val="0"/>
    <w:pPr>
      <w:widowControl/>
    </w:pPr>
    <w:rPr>
      <w:kern w:val="0"/>
      <w:sz w:val="20"/>
      <w:szCs w:val="21"/>
    </w:rPr>
  </w:style>
  <w:style w:type="character" w:customStyle="1" w:styleId="25">
    <w:name w:val="page number"/>
    <w:uiPriority w:val="0"/>
  </w:style>
  <w:style w:type="character" w:customStyle="1" w:styleId="26">
    <w:name w:val="正文文本缩进 2 Char1"/>
    <w:uiPriority w:val="0"/>
    <w:rPr>
      <w:kern w:val="2"/>
      <w:sz w:val="21"/>
      <w:szCs w:val="24"/>
    </w:rPr>
  </w:style>
  <w:style w:type="character" w:customStyle="1" w:styleId="27">
    <w:name w:val="文档结构图 Char1"/>
    <w:uiPriority w:val="0"/>
    <w:rPr>
      <w:rFonts w:ascii="Microsoft YaHei UI" w:eastAsia="Microsoft YaHei UI"/>
      <w:kern w:val="2"/>
      <w:sz w:val="18"/>
      <w:szCs w:val="18"/>
    </w:rPr>
  </w:style>
  <w:style w:type="character" w:customStyle="1" w:styleId="28">
    <w:name w:val="标题 Char1"/>
    <w:uiPriority w:val="0"/>
    <w:rPr>
      <w:rFonts w:ascii="Calibri Light" w:hAnsi="Calibri Light" w:cs="Times New Roman"/>
      <w:b/>
      <w:bCs/>
      <w:kern w:val="2"/>
      <w:sz w:val="32"/>
      <w:szCs w:val="32"/>
    </w:rPr>
  </w:style>
  <w:style w:type="character" w:customStyle="1" w:styleId="29">
    <w:name w:val="副标题 Char1"/>
    <w:uiPriority w:val="0"/>
    <w:rPr>
      <w:rFonts w:ascii="Calibri Light" w:hAnsi="Calibri Light" w:cs="Times New Roman"/>
      <w:b/>
      <w:bCs/>
      <w:kern w:val="28"/>
      <w:sz w:val="32"/>
      <w:szCs w:val="32"/>
    </w:rPr>
  </w:style>
  <w:style w:type="paragraph" w:customStyle="1" w:styleId="30">
    <w:name w:val="p17"/>
    <w:basedOn w:val="1"/>
    <w:uiPriority w:val="0"/>
    <w:pPr>
      <w:widowControl/>
    </w:pPr>
    <w:rPr>
      <w:rFonts w:ascii="宋体" w:hAnsi="宋体" w:cs="宋体"/>
      <w:kern w:val="0"/>
      <w:sz w:val="32"/>
      <w:szCs w:val="21"/>
    </w:rPr>
  </w:style>
  <w:style w:type="paragraph" w:customStyle="1" w:styleId="31">
    <w:name w:val=" Char Char Char Char"/>
    <w:basedOn w:val="1"/>
    <w:uiPriority w:val="0"/>
    <w:rPr>
      <w:sz w:val="32"/>
    </w:rPr>
  </w:style>
  <w:style w:type="character" w:customStyle="1" w:styleId="32">
    <w:name w:val="批注文字 字符"/>
    <w:link w:val="3"/>
    <w:uiPriority w:val="0"/>
    <w:rPr>
      <w:kern w:val="2"/>
      <w:sz w:val="21"/>
      <w:szCs w:val="24"/>
    </w:rPr>
  </w:style>
  <w:style w:type="character" w:customStyle="1" w:styleId="33">
    <w:name w:val="批注主题 字符"/>
    <w:link w:val="10"/>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047B9-9366-4ADF-858A-593A588335FD}">
  <ds:schemaRefs/>
</ds:datastoreItem>
</file>

<file path=docProps/app.xml><?xml version="1.0" encoding="utf-8"?>
<Properties xmlns="http://schemas.openxmlformats.org/officeDocument/2006/extended-properties" xmlns:vt="http://schemas.openxmlformats.org/officeDocument/2006/docPropsVTypes">
  <Template>Normal</Template>
  <Pages>25</Pages>
  <Words>1660</Words>
  <Characters>9467</Characters>
  <Lines>78</Lines>
  <Paragraphs>22</Paragraphs>
  <TotalTime>0</TotalTime>
  <ScaleCrop>false</ScaleCrop>
  <LinksUpToDate>false</LinksUpToDate>
  <CharactersWithSpaces>11105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2021-09-21T12:16:00Z</dcterms:created>
  <dc:creator>Administrator</dc:creator>
  <cp:lastModifiedBy>老庄</cp:lastModifiedBy>
  <cp:lastPrinted>2018-09-05T06:09:00Z</cp:lastPrinted>
  <dcterms:modified xsi:type="dcterms:W3CDTF">2021-09-28T04:01:08Z</dcterms:modified>
  <dc:title>内部资料，请勿外传（公开时请删除）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E8F3CE24D88640C6B3B2EA71035FDB4E</vt:lpwstr>
  </property>
</Properties>
</file>