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eastAsia" w:ascii="文星简大标宋" w:eastAsia="文星简大标宋"/>
          <w:sz w:val="84"/>
          <w:szCs w:val="84"/>
        </w:rPr>
      </w:pPr>
      <w:r>
        <w:rPr>
          <w:rFonts w:hint="eastAsia" w:ascii="文星简大标宋" w:eastAsia="文星简大标宋"/>
          <w:sz w:val="84"/>
          <w:szCs w:val="84"/>
        </w:rPr>
        <w:t>2020年度</w:t>
      </w:r>
    </w:p>
    <w:p>
      <w:pPr>
        <w:jc w:val="center"/>
        <w:rPr>
          <w:rFonts w:hint="eastAsia" w:ascii="文星简大标宋" w:eastAsia="文星简大标宋"/>
          <w:sz w:val="84"/>
          <w:szCs w:val="84"/>
        </w:rPr>
      </w:pPr>
      <w:r>
        <w:rPr>
          <w:rFonts w:hint="eastAsia" w:ascii="文星简大标宋" w:eastAsia="文星简大标宋"/>
          <w:sz w:val="84"/>
          <w:szCs w:val="84"/>
        </w:rPr>
        <w:t>青岛市标准化研究院</w:t>
      </w:r>
    </w:p>
    <w:p>
      <w:pPr>
        <w:jc w:val="center"/>
        <w:rPr>
          <w:rFonts w:hint="eastAsia" w:ascii="文星简大标宋" w:eastAsia="文星简大标宋"/>
          <w:sz w:val="84"/>
          <w:szCs w:val="84"/>
        </w:rPr>
      </w:pPr>
      <w:r>
        <w:rPr>
          <w:rFonts w:hint="eastAsia" w:ascii="文星简大标宋" w:eastAsia="文星简大标宋"/>
          <w:sz w:val="84"/>
          <w:szCs w:val="84"/>
        </w:rPr>
        <w:t>决算</w:t>
      </w:r>
    </w:p>
    <w:p>
      <w:pPr>
        <w:rPr>
          <w:rFonts w:hint="eastAsia"/>
        </w:rPr>
      </w:pPr>
    </w:p>
    <w:p>
      <w:pPr>
        <w:spacing w:line="580" w:lineRule="exact"/>
        <w:rPr>
          <w:rFonts w:hint="eastAsia"/>
        </w:rPr>
      </w:pPr>
    </w:p>
    <w:p>
      <w:pPr>
        <w:spacing w:after="305" w:afterLines="50" w:line="580" w:lineRule="exact"/>
        <w:jc w:val="center"/>
        <w:rPr>
          <w:rFonts w:hint="eastAsia" w:ascii="方正小标宋_GBK" w:eastAsia="方正小标宋_GBK"/>
          <w:sz w:val="44"/>
          <w:szCs w:val="44"/>
        </w:rPr>
      </w:pPr>
    </w:p>
    <w:p>
      <w:pPr>
        <w:spacing w:after="305" w:afterLines="50" w:line="580" w:lineRule="exact"/>
        <w:jc w:val="center"/>
        <w:rPr>
          <w:rFonts w:hint="eastAsia" w:ascii="方正小标宋_GBK" w:eastAsia="方正小标宋_GBK"/>
          <w:sz w:val="44"/>
          <w:szCs w:val="44"/>
        </w:rPr>
      </w:pPr>
    </w:p>
    <w:p>
      <w:pPr>
        <w:spacing w:after="305" w:afterLines="50" w:line="580" w:lineRule="exact"/>
        <w:jc w:val="center"/>
        <w:rPr>
          <w:rFonts w:hint="eastAsia" w:ascii="方正小标宋_GBK" w:eastAsia="方正小标宋_GBK"/>
          <w:sz w:val="44"/>
          <w:szCs w:val="44"/>
        </w:rPr>
      </w:pPr>
    </w:p>
    <w:p>
      <w:pPr>
        <w:spacing w:after="305" w:afterLines="50" w:line="580" w:lineRule="exact"/>
        <w:jc w:val="center"/>
        <w:rPr>
          <w:rFonts w:hint="eastAsia" w:ascii="方正小标宋_GBK" w:eastAsia="方正小标宋_GBK"/>
          <w:sz w:val="44"/>
          <w:szCs w:val="44"/>
        </w:rPr>
      </w:pPr>
    </w:p>
    <w:p>
      <w:pPr>
        <w:spacing w:after="305" w:afterLines="50" w:line="580" w:lineRule="exact"/>
        <w:jc w:val="center"/>
        <w:rPr>
          <w:rFonts w:hint="eastAsia" w:ascii="方正小标宋_GBK" w:eastAsia="方正小标宋_GBK"/>
          <w:sz w:val="44"/>
          <w:szCs w:val="44"/>
        </w:rPr>
      </w:pPr>
    </w:p>
    <w:p>
      <w:pPr>
        <w:spacing w:after="305" w:afterLines="50" w:line="580" w:lineRule="exact"/>
        <w:jc w:val="center"/>
        <w:rPr>
          <w:rFonts w:hint="eastAsia" w:ascii="方正小标宋_GBK" w:eastAsia="方正小标宋_GBK"/>
          <w:sz w:val="44"/>
          <w:szCs w:val="44"/>
        </w:rPr>
      </w:pPr>
    </w:p>
    <w:p>
      <w:pPr>
        <w:spacing w:after="305" w:afterLines="50" w:line="580" w:lineRule="exact"/>
        <w:jc w:val="center"/>
        <w:rPr>
          <w:rFonts w:hint="eastAsia" w:ascii="方正小标宋_GBK" w:eastAsia="方正小标宋_GBK"/>
          <w:sz w:val="44"/>
          <w:szCs w:val="44"/>
        </w:rPr>
      </w:pPr>
    </w:p>
    <w:p>
      <w:pPr>
        <w:spacing w:after="305" w:afterLines="50" w:line="580" w:lineRule="exact"/>
        <w:jc w:val="center"/>
        <w:rPr>
          <w:rFonts w:hint="eastAsia" w:ascii="方正小标宋_GBK" w:eastAsia="方正小标宋_GBK"/>
          <w:sz w:val="44"/>
          <w:szCs w:val="44"/>
        </w:rPr>
      </w:pPr>
      <w:r>
        <w:rPr>
          <w:rFonts w:hint="eastAsia" w:ascii="方正小标宋_GBK" w:eastAsia="方正小标宋_GBK"/>
          <w:sz w:val="44"/>
          <w:szCs w:val="44"/>
        </w:rPr>
        <w:t>目  录</w:t>
      </w:r>
    </w:p>
    <w:p>
      <w:pPr>
        <w:spacing w:line="580" w:lineRule="exact"/>
        <w:ind w:firstLine="316" w:firstLineChars="100"/>
        <w:rPr>
          <w:rFonts w:hint="eastAsia" w:ascii="黑体" w:hAnsi="黑体" w:eastAsia="黑体"/>
          <w:sz w:val="32"/>
        </w:rPr>
      </w:pPr>
      <w:r>
        <w:rPr>
          <w:rFonts w:hint="eastAsia" w:ascii="黑体" w:hAnsi="黑体" w:eastAsia="黑体"/>
          <w:sz w:val="32"/>
        </w:rPr>
        <w:t>第一部分  单位概况</w:t>
      </w:r>
    </w:p>
    <w:p>
      <w:pPr>
        <w:spacing w:line="580" w:lineRule="exact"/>
        <w:ind w:firstLine="632" w:firstLineChars="200"/>
        <w:rPr>
          <w:rFonts w:hint="eastAsia" w:ascii="仿宋_GB2312" w:eastAsia="仿宋_GB2312"/>
          <w:sz w:val="32"/>
        </w:rPr>
      </w:pPr>
      <w:r>
        <w:rPr>
          <w:rFonts w:hint="eastAsia" w:ascii="仿宋_GB2312" w:eastAsia="仿宋_GB2312"/>
          <w:sz w:val="32"/>
        </w:rPr>
        <w:t>一、单位职责</w:t>
      </w:r>
    </w:p>
    <w:p>
      <w:pPr>
        <w:spacing w:line="580" w:lineRule="exact"/>
        <w:ind w:firstLine="632" w:firstLineChars="200"/>
        <w:rPr>
          <w:rFonts w:hint="eastAsia" w:ascii="仿宋_GB2312" w:eastAsia="仿宋_GB2312"/>
          <w:sz w:val="32"/>
        </w:rPr>
      </w:pPr>
      <w:r>
        <w:rPr>
          <w:rFonts w:hint="eastAsia" w:ascii="仿宋_GB2312" w:eastAsia="仿宋_GB2312"/>
          <w:sz w:val="32"/>
        </w:rPr>
        <w:t>二、机构设置</w:t>
      </w:r>
    </w:p>
    <w:p>
      <w:pPr>
        <w:spacing w:line="580" w:lineRule="exact"/>
        <w:ind w:firstLine="316" w:firstLineChars="100"/>
        <w:rPr>
          <w:rFonts w:hint="eastAsia" w:ascii="黑体" w:hAnsi="黑体" w:eastAsia="黑体"/>
          <w:sz w:val="32"/>
        </w:rPr>
      </w:pPr>
      <w:r>
        <w:rPr>
          <w:rFonts w:hint="eastAsia" w:ascii="黑体" w:hAnsi="黑体" w:eastAsia="黑体"/>
          <w:sz w:val="32"/>
        </w:rPr>
        <w:t>第二部分  2020年度单位决算表</w:t>
      </w:r>
    </w:p>
    <w:p>
      <w:pPr>
        <w:spacing w:line="580" w:lineRule="exact"/>
        <w:ind w:left="640"/>
        <w:rPr>
          <w:rFonts w:hint="eastAsia" w:ascii="仿宋_GB2312" w:eastAsia="仿宋_GB2312"/>
          <w:sz w:val="32"/>
          <w:szCs w:val="32"/>
        </w:rPr>
      </w:pPr>
      <w:r>
        <w:rPr>
          <w:rFonts w:hint="eastAsia" w:ascii="仿宋_GB2312" w:eastAsia="仿宋_GB2312"/>
          <w:sz w:val="32"/>
          <w:szCs w:val="32"/>
        </w:rPr>
        <w:t>一、收入支出决算总表</w:t>
      </w:r>
    </w:p>
    <w:p>
      <w:pPr>
        <w:spacing w:line="580" w:lineRule="exact"/>
        <w:ind w:left="640"/>
        <w:rPr>
          <w:rFonts w:hint="eastAsia" w:ascii="仿宋_GB2312" w:eastAsia="仿宋_GB2312"/>
          <w:sz w:val="32"/>
          <w:szCs w:val="32"/>
        </w:rPr>
      </w:pPr>
      <w:r>
        <w:rPr>
          <w:rFonts w:hint="eastAsia" w:ascii="仿宋_GB2312" w:eastAsia="仿宋_GB2312"/>
          <w:sz w:val="32"/>
          <w:szCs w:val="32"/>
        </w:rPr>
        <w:t>二、收入决算表</w:t>
      </w:r>
    </w:p>
    <w:p>
      <w:pPr>
        <w:spacing w:line="580" w:lineRule="exact"/>
        <w:ind w:left="640"/>
        <w:rPr>
          <w:rFonts w:hint="eastAsia" w:ascii="仿宋_GB2312" w:eastAsia="仿宋_GB2312"/>
          <w:sz w:val="32"/>
          <w:szCs w:val="32"/>
        </w:rPr>
      </w:pPr>
      <w:r>
        <w:rPr>
          <w:rFonts w:hint="eastAsia" w:ascii="仿宋_GB2312" w:eastAsia="仿宋_GB2312"/>
          <w:sz w:val="32"/>
          <w:szCs w:val="32"/>
        </w:rPr>
        <w:t>三、支出决算表</w:t>
      </w:r>
    </w:p>
    <w:p>
      <w:pPr>
        <w:spacing w:line="580" w:lineRule="exact"/>
        <w:ind w:left="640"/>
        <w:rPr>
          <w:rFonts w:hint="eastAsia" w:ascii="仿宋_GB2312" w:eastAsia="仿宋_GB2312"/>
          <w:sz w:val="32"/>
          <w:szCs w:val="32"/>
        </w:rPr>
      </w:pPr>
      <w:r>
        <w:rPr>
          <w:rFonts w:hint="eastAsia" w:ascii="仿宋_GB2312" w:eastAsia="仿宋_GB2312"/>
          <w:sz w:val="32"/>
          <w:szCs w:val="32"/>
        </w:rPr>
        <w:t>四、财政拨款收入支出决算总表</w:t>
      </w:r>
    </w:p>
    <w:p>
      <w:pPr>
        <w:spacing w:line="580" w:lineRule="exact"/>
        <w:ind w:left="640"/>
        <w:rPr>
          <w:rFonts w:hint="eastAsia" w:ascii="仿宋_GB2312" w:eastAsia="仿宋_GB2312"/>
          <w:sz w:val="32"/>
          <w:szCs w:val="32"/>
        </w:rPr>
      </w:pPr>
      <w:r>
        <w:rPr>
          <w:rFonts w:hint="eastAsia" w:ascii="仿宋_GB2312" w:eastAsia="仿宋_GB2312"/>
          <w:sz w:val="32"/>
          <w:szCs w:val="32"/>
        </w:rPr>
        <w:t>五、一般公共预算财政拨款支出决算表</w:t>
      </w:r>
    </w:p>
    <w:p>
      <w:pPr>
        <w:spacing w:line="580" w:lineRule="exact"/>
        <w:ind w:left="640"/>
        <w:rPr>
          <w:rFonts w:hint="eastAsia" w:ascii="仿宋_GB2312" w:eastAsia="仿宋_GB2312"/>
          <w:sz w:val="32"/>
          <w:szCs w:val="32"/>
        </w:rPr>
      </w:pPr>
      <w:r>
        <w:rPr>
          <w:rFonts w:hint="eastAsia" w:ascii="仿宋_GB2312" w:eastAsia="仿宋_GB2312"/>
          <w:sz w:val="32"/>
          <w:szCs w:val="32"/>
        </w:rPr>
        <w:t>六、一般公共预算财政拨款基本支出决算表</w:t>
      </w:r>
    </w:p>
    <w:p>
      <w:pPr>
        <w:spacing w:line="580" w:lineRule="exact"/>
        <w:ind w:left="640"/>
        <w:rPr>
          <w:rFonts w:hint="eastAsia" w:ascii="仿宋_GB2312" w:eastAsia="仿宋_GB2312"/>
          <w:sz w:val="32"/>
          <w:szCs w:val="32"/>
        </w:rPr>
      </w:pPr>
      <w:r>
        <w:rPr>
          <w:rFonts w:hint="eastAsia" w:ascii="仿宋_GB2312" w:eastAsia="仿宋_GB2312"/>
          <w:sz w:val="32"/>
          <w:szCs w:val="32"/>
        </w:rPr>
        <w:t>七、一般公共预算财政拨款“三公”经费支出决算表</w:t>
      </w:r>
    </w:p>
    <w:p>
      <w:pPr>
        <w:spacing w:line="580" w:lineRule="exact"/>
        <w:ind w:left="640"/>
        <w:rPr>
          <w:rFonts w:hint="eastAsia" w:ascii="仿宋_GB2312" w:eastAsia="仿宋_GB2312"/>
          <w:sz w:val="32"/>
          <w:szCs w:val="32"/>
        </w:rPr>
      </w:pPr>
      <w:r>
        <w:rPr>
          <w:rFonts w:hint="eastAsia" w:ascii="仿宋_GB2312" w:eastAsia="仿宋_GB2312"/>
          <w:sz w:val="32"/>
          <w:szCs w:val="32"/>
        </w:rPr>
        <w:t>八、政府性基金预算财政拨款收入支出决算表</w:t>
      </w:r>
    </w:p>
    <w:p>
      <w:pPr>
        <w:spacing w:line="580" w:lineRule="exact"/>
        <w:ind w:left="640"/>
        <w:rPr>
          <w:rFonts w:hint="eastAsia" w:ascii="仿宋_GB2312" w:eastAsia="仿宋_GB2312"/>
          <w:sz w:val="32"/>
          <w:szCs w:val="32"/>
        </w:rPr>
      </w:pPr>
      <w:r>
        <w:rPr>
          <w:rFonts w:hint="eastAsia" w:ascii="仿宋_GB2312" w:eastAsia="仿宋_GB2312"/>
          <w:sz w:val="32"/>
          <w:szCs w:val="32"/>
        </w:rPr>
        <w:t>九、国有资本经营预算财政拨款支出决算表</w:t>
      </w:r>
    </w:p>
    <w:p>
      <w:pPr>
        <w:spacing w:line="580" w:lineRule="exact"/>
        <w:ind w:firstLine="316" w:firstLineChars="100"/>
        <w:rPr>
          <w:rFonts w:hint="eastAsia" w:ascii="黑体" w:hAnsi="黑体" w:eastAsia="黑体"/>
          <w:sz w:val="32"/>
        </w:rPr>
      </w:pPr>
      <w:r>
        <w:rPr>
          <w:rFonts w:hint="eastAsia" w:ascii="黑体" w:hAnsi="黑体" w:eastAsia="黑体"/>
          <w:sz w:val="32"/>
        </w:rPr>
        <w:t>第三部分  2020年度单位决算情况说明</w:t>
      </w:r>
    </w:p>
    <w:p>
      <w:pPr>
        <w:spacing w:line="580" w:lineRule="exact"/>
        <w:ind w:firstLine="316" w:firstLineChars="100"/>
        <w:rPr>
          <w:rFonts w:hint="eastAsia" w:ascii="黑体" w:hAnsi="黑体" w:eastAsia="黑体"/>
          <w:sz w:val="32"/>
        </w:rPr>
      </w:pPr>
      <w:r>
        <w:rPr>
          <w:rFonts w:hint="eastAsia" w:ascii="黑体" w:hAnsi="黑体" w:eastAsia="黑体"/>
          <w:sz w:val="32"/>
        </w:rPr>
        <w:t>第四部分  名词解释</w:t>
      </w:r>
    </w:p>
    <w:p>
      <w:pPr>
        <w:rPr>
          <w:rFonts w:hint="eastAsia" w:ascii="黑体" w:eastAsia="黑体"/>
          <w:sz w:val="36"/>
          <w:szCs w:val="36"/>
        </w:rPr>
      </w:pPr>
    </w:p>
    <w:p>
      <w:pPr>
        <w:rPr>
          <w:rFonts w:hint="eastAsia" w:ascii="黑体" w:eastAsia="黑体"/>
          <w:sz w:val="52"/>
          <w:szCs w:val="52"/>
        </w:rPr>
      </w:pPr>
    </w:p>
    <w:p>
      <w:pPr>
        <w:rPr>
          <w:rFonts w:hint="eastAsia" w:ascii="黑体" w:eastAsia="黑体"/>
          <w:sz w:val="52"/>
          <w:szCs w:val="52"/>
        </w:rPr>
      </w:pPr>
    </w:p>
    <w:p>
      <w:pPr>
        <w:rPr>
          <w:rFonts w:hint="eastAsia" w:ascii="黑体" w:eastAsia="黑体"/>
          <w:sz w:val="52"/>
          <w:szCs w:val="52"/>
        </w:rPr>
      </w:pPr>
      <w:r>
        <w:rPr>
          <w:rFonts w:hint="eastAsia" w:ascii="黑体" w:eastAsia="黑体"/>
          <w:sz w:val="52"/>
          <w:szCs w:val="52"/>
        </w:rPr>
        <w:t xml:space="preserve">  第一部分 </w:t>
      </w:r>
    </w:p>
    <w:p>
      <w:pPr>
        <w:rPr>
          <w:rFonts w:hint="eastAsia" w:ascii="黑体" w:eastAsia="黑体"/>
          <w:sz w:val="52"/>
          <w:szCs w:val="52"/>
        </w:rPr>
      </w:pPr>
    </w:p>
    <w:p>
      <w:pPr>
        <w:jc w:val="center"/>
        <w:rPr>
          <w:rFonts w:hint="eastAsia" w:ascii="黑体" w:eastAsia="黑体"/>
          <w:sz w:val="52"/>
          <w:szCs w:val="52"/>
        </w:rPr>
      </w:pPr>
      <w:r>
        <w:rPr>
          <w:rFonts w:hint="eastAsia" w:ascii="黑体" w:eastAsia="黑体"/>
          <w:sz w:val="52"/>
          <w:szCs w:val="52"/>
        </w:rPr>
        <w:t>单位概况</w:t>
      </w:r>
    </w:p>
    <w:p>
      <w:pPr>
        <w:rPr>
          <w:rFonts w:hint="eastAsia" w:ascii="黑体" w:eastAsia="黑体"/>
          <w:b/>
          <w:sz w:val="36"/>
          <w:szCs w:val="36"/>
        </w:rPr>
      </w:pPr>
    </w:p>
    <w:p>
      <w:pPr>
        <w:jc w:val="center"/>
        <w:rPr>
          <w:rFonts w:hint="eastAsia" w:ascii="仿宋_GB2312" w:eastAsia="仿宋_GB2312"/>
          <w:sz w:val="32"/>
        </w:rPr>
        <w:sectPr>
          <w:headerReference r:id="rId5" w:type="default"/>
          <w:footerReference r:id="rId6" w:type="default"/>
          <w:footerReference r:id="rId7" w:type="even"/>
          <w:pgSz w:w="11906" w:h="16838"/>
          <w:pgMar w:top="1701" w:right="1531" w:bottom="1701" w:left="1531" w:header="0" w:footer="1418" w:gutter="0"/>
          <w:cols w:space="720" w:num="1"/>
          <w:docGrid w:type="linesAndChars" w:linePitch="610" w:charSpace="-849"/>
        </w:sectPr>
      </w:pPr>
    </w:p>
    <w:p>
      <w:pPr>
        <w:spacing w:line="580" w:lineRule="exact"/>
        <w:ind w:firstLine="632" w:firstLineChars="200"/>
        <w:rPr>
          <w:rFonts w:hint="eastAsia" w:ascii="黑体" w:hAnsi="黑体" w:eastAsia="黑体"/>
          <w:sz w:val="32"/>
        </w:rPr>
      </w:pPr>
      <w:r>
        <w:rPr>
          <w:rFonts w:hint="eastAsia" w:ascii="黑体" w:hAnsi="黑体" w:eastAsia="黑体"/>
          <w:sz w:val="32"/>
        </w:rPr>
        <w:t>一、单位职责</w:t>
      </w:r>
    </w:p>
    <w:p>
      <w:pPr>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社会提供标准化技术支撑和咨询服务。参与拟订标准化研究领域的政策、规划等。开展标准化、信息化、质量信用、编码技术、条码、技术性贸易措施（TBT）等相关研究与服务工作。承担标准信息资源的建设和普及推广工作。承担标准化国际交流与合作、国外及国际标准分析研究与应用、标准国际化人才培训及咨询服务工作。承担标准制修订及标准体系建设工作。承担标准化技术组织的相关工作。负责商品条码质量检验。负责统一社会信用代码数据库管理维护与应用。承担国家技术标准创新基地和国际标准化培训基地（青岛）的建设运行等工作。</w:t>
      </w:r>
    </w:p>
    <w:p>
      <w:pPr>
        <w:spacing w:line="580" w:lineRule="exact"/>
        <w:ind w:firstLine="632" w:firstLineChars="200"/>
        <w:rPr>
          <w:rFonts w:hint="eastAsia" w:ascii="黑体" w:hAnsi="黑体" w:eastAsia="黑体"/>
          <w:sz w:val="32"/>
        </w:rPr>
      </w:pPr>
      <w:r>
        <w:rPr>
          <w:rFonts w:hint="eastAsia" w:ascii="黑体" w:hAnsi="黑体" w:eastAsia="黑体"/>
          <w:sz w:val="32"/>
        </w:rPr>
        <w:t>二、机构设置</w:t>
      </w:r>
    </w:p>
    <w:p>
      <w:pPr>
        <w:spacing w:line="580" w:lineRule="exact"/>
        <w:ind w:firstLine="645"/>
        <w:rPr>
          <w:rFonts w:hint="eastAsia" w:ascii="仿宋_GB2312" w:hAnsi="宋体" w:eastAsia="仿宋_GB2312" w:cs="Courier New"/>
          <w:sz w:val="32"/>
          <w:szCs w:val="32"/>
        </w:rPr>
      </w:pPr>
      <w:r>
        <w:rPr>
          <w:rFonts w:hint="eastAsia" w:ascii="仿宋_GB2312" w:hAnsi="仿宋_GB2312" w:eastAsia="仿宋_GB2312" w:cs="仿宋_GB2312"/>
          <w:sz w:val="32"/>
          <w:szCs w:val="32"/>
        </w:rPr>
        <w:t>青岛市标准化研究院</w:t>
      </w:r>
      <w:r>
        <w:rPr>
          <w:rFonts w:hint="eastAsia" w:ascii="仿宋_GB2312" w:hAnsi="宋体" w:eastAsia="仿宋_GB2312" w:cs="Courier New"/>
          <w:sz w:val="32"/>
          <w:szCs w:val="32"/>
        </w:rPr>
        <w:t>内设机构共1</w:t>
      </w:r>
      <w:r>
        <w:rPr>
          <w:rFonts w:ascii="仿宋_GB2312" w:hAnsi="宋体" w:eastAsia="仿宋_GB2312" w:cs="Courier New"/>
          <w:sz w:val="32"/>
          <w:szCs w:val="32"/>
        </w:rPr>
        <w:t>1</w:t>
      </w:r>
      <w:r>
        <w:rPr>
          <w:rFonts w:hint="eastAsia" w:ascii="仿宋_GB2312" w:hAnsi="宋体" w:eastAsia="仿宋_GB2312" w:cs="Courier New"/>
          <w:sz w:val="32"/>
          <w:szCs w:val="32"/>
        </w:rPr>
        <w:t>个，分别为：</w:t>
      </w:r>
      <w:r>
        <w:rPr>
          <w:rFonts w:hint="eastAsia" w:ascii="仿宋" w:hAnsi="仿宋" w:eastAsia="仿宋"/>
          <w:sz w:val="32"/>
          <w:szCs w:val="32"/>
        </w:rPr>
        <w:t xml:space="preserve">办公室、财务室、信息管理中心、事业发展部、物品编码中心、标准研究中心、标准服务中心、代码数据服务中心、标准国际化研究中心秘书处、军民融合研究中心、标准文献馆。 </w:t>
      </w:r>
    </w:p>
    <w:p>
      <w:pPr>
        <w:rPr>
          <w:rFonts w:hint="eastAsia" w:ascii="方正小标宋简体" w:eastAsia="方正小标宋简体"/>
          <w:sz w:val="42"/>
        </w:rPr>
      </w:pPr>
    </w:p>
    <w:p>
      <w:pPr>
        <w:rPr>
          <w:rFonts w:hint="eastAsia" w:ascii="黑体" w:eastAsia="黑体"/>
          <w:sz w:val="52"/>
          <w:szCs w:val="52"/>
        </w:rPr>
      </w:pPr>
    </w:p>
    <w:p>
      <w:pPr>
        <w:rPr>
          <w:rFonts w:hint="eastAsia" w:ascii="黑体" w:eastAsia="黑体"/>
          <w:sz w:val="52"/>
          <w:szCs w:val="52"/>
        </w:rPr>
      </w:pPr>
    </w:p>
    <w:p>
      <w:pPr>
        <w:rPr>
          <w:rFonts w:hint="eastAsia" w:ascii="黑体" w:eastAsia="黑体"/>
          <w:sz w:val="52"/>
          <w:szCs w:val="52"/>
        </w:rPr>
      </w:pPr>
    </w:p>
    <w:p>
      <w:pPr>
        <w:rPr>
          <w:rFonts w:hint="eastAsia" w:ascii="黑体" w:eastAsia="黑体"/>
          <w:sz w:val="52"/>
          <w:szCs w:val="52"/>
        </w:rPr>
      </w:pPr>
    </w:p>
    <w:p>
      <w:pPr>
        <w:rPr>
          <w:rFonts w:hint="eastAsia" w:ascii="黑体" w:eastAsia="黑体"/>
          <w:sz w:val="52"/>
          <w:szCs w:val="52"/>
        </w:rPr>
      </w:pPr>
      <w:r>
        <w:rPr>
          <w:rFonts w:hint="eastAsia" w:ascii="黑体" w:eastAsia="黑体"/>
          <w:sz w:val="52"/>
          <w:szCs w:val="52"/>
        </w:rPr>
        <w:t>第二部分</w:t>
      </w:r>
    </w:p>
    <w:p>
      <w:pPr>
        <w:rPr>
          <w:rFonts w:hint="eastAsia" w:ascii="黑体" w:eastAsia="黑体"/>
          <w:sz w:val="52"/>
          <w:szCs w:val="52"/>
        </w:rPr>
      </w:pPr>
    </w:p>
    <w:p>
      <w:pPr>
        <w:jc w:val="center"/>
        <w:rPr>
          <w:rFonts w:hint="eastAsia" w:ascii="黑体" w:eastAsia="黑体"/>
          <w:sz w:val="52"/>
          <w:szCs w:val="52"/>
        </w:rPr>
      </w:pPr>
      <w:r>
        <w:rPr>
          <w:rFonts w:hint="eastAsia" w:ascii="黑体" w:eastAsia="黑体"/>
          <w:sz w:val="52"/>
          <w:szCs w:val="52"/>
        </w:rPr>
        <w:t>2020年度单位决算表</w:t>
      </w:r>
    </w:p>
    <w:p>
      <w:pPr>
        <w:spacing w:line="520" w:lineRule="exact"/>
        <w:rPr>
          <w:rFonts w:hint="eastAsia" w:ascii="仿宋_GB2312" w:eastAsia="仿宋_GB2312"/>
          <w:b/>
          <w:sz w:val="28"/>
          <w:szCs w:val="28"/>
          <w:highlight w:val="yellow"/>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ind w:firstLine="3052" w:firstLineChars="700"/>
        <w:jc w:val="both"/>
        <w:rPr>
          <w:rFonts w:hint="eastAsia" w:ascii="方正小标宋简体" w:eastAsia="方正小标宋简体"/>
          <w:sz w:val="44"/>
          <w:szCs w:val="44"/>
        </w:rPr>
      </w:pPr>
      <w:r>
        <w:rPr>
          <w:rFonts w:hint="eastAsia" w:ascii="方正小标宋简体" w:eastAsia="方正小标宋简体"/>
          <w:sz w:val="44"/>
          <w:szCs w:val="44"/>
        </w:rPr>
        <w:t>收入支出决算总表</w:t>
      </w:r>
    </w:p>
    <w:p>
      <w:pPr>
        <w:wordWrap w:val="0"/>
        <w:spacing w:line="400" w:lineRule="exact"/>
        <w:ind w:right="276"/>
        <w:jc w:val="right"/>
        <w:rPr>
          <w:rFonts w:hint="eastAsia" w:ascii="楷体_GB2312" w:eastAsia="楷体_GB2312"/>
          <w:sz w:val="28"/>
          <w:szCs w:val="28"/>
        </w:rPr>
      </w:pPr>
      <w:r>
        <w:rPr>
          <w:rFonts w:hint="eastAsia" w:ascii="楷体_GB2312" w:eastAsia="楷体_GB2312"/>
          <w:sz w:val="28"/>
          <w:szCs w:val="28"/>
        </w:rPr>
        <w:t>公开01表</w:t>
      </w:r>
    </w:p>
    <w:p>
      <w:pPr>
        <w:wordWrap w:val="0"/>
        <w:spacing w:line="400" w:lineRule="exact"/>
        <w:ind w:right="276" w:firstLine="138" w:firstLineChars="50"/>
        <w:jc w:val="right"/>
        <w:rPr>
          <w:rFonts w:hint="eastAsia" w:ascii="楷体_GB2312" w:eastAsia="楷体_GB2312"/>
          <w:sz w:val="28"/>
          <w:szCs w:val="28"/>
        </w:rPr>
      </w:pPr>
      <w:r>
        <w:rPr>
          <w:rFonts w:hint="eastAsia" w:ascii="楷体_GB2312" w:eastAsia="楷体_GB2312"/>
          <w:sz w:val="28"/>
          <w:szCs w:val="28"/>
        </w:rPr>
        <w:t xml:space="preserve">单位：青岛市标准化研究院                     </w:t>
      </w:r>
      <w:r>
        <w:rPr>
          <w:rFonts w:ascii="楷体_GB2312" w:eastAsia="楷体_GB2312"/>
          <w:sz w:val="28"/>
          <w:szCs w:val="28"/>
        </w:rPr>
        <w:t xml:space="preserve"> </w:t>
      </w:r>
      <w:r>
        <w:rPr>
          <w:rFonts w:hint="eastAsia" w:ascii="楷体_GB2312" w:eastAsia="楷体_GB2312"/>
          <w:sz w:val="28"/>
          <w:szCs w:val="28"/>
        </w:rPr>
        <w:t>金额单位：万元</w:t>
      </w:r>
    </w:p>
    <w:tbl>
      <w:tblPr>
        <w:tblStyle w:val="11"/>
        <w:tblW w:w="0" w:type="auto"/>
        <w:tblInd w:w="0" w:type="dxa"/>
        <w:tblLayout w:type="fixed"/>
        <w:tblCellMar>
          <w:top w:w="0" w:type="dxa"/>
          <w:left w:w="108" w:type="dxa"/>
          <w:bottom w:w="0" w:type="dxa"/>
          <w:right w:w="108" w:type="dxa"/>
        </w:tblCellMar>
      </w:tblPr>
      <w:tblGrid>
        <w:gridCol w:w="3045"/>
        <w:gridCol w:w="667"/>
        <w:gridCol w:w="1022"/>
        <w:gridCol w:w="2502"/>
        <w:gridCol w:w="517"/>
        <w:gridCol w:w="1302"/>
      </w:tblGrid>
      <w:tr>
        <w:tblPrEx>
          <w:tblCellMar>
            <w:top w:w="0" w:type="dxa"/>
            <w:left w:w="108" w:type="dxa"/>
            <w:bottom w:w="0" w:type="dxa"/>
            <w:right w:w="108" w:type="dxa"/>
          </w:tblCellMar>
        </w:tblPrEx>
        <w:trPr>
          <w:trHeight w:val="329" w:hRule="exact"/>
        </w:trPr>
        <w:tc>
          <w:tcPr>
            <w:tcW w:w="473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收 入</w:t>
            </w:r>
          </w:p>
        </w:tc>
        <w:tc>
          <w:tcPr>
            <w:tcW w:w="4321"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支 出</w:t>
            </w:r>
          </w:p>
        </w:tc>
      </w:tr>
      <w:tr>
        <w:tblPrEx>
          <w:tblCellMar>
            <w:top w:w="0" w:type="dxa"/>
            <w:left w:w="108" w:type="dxa"/>
            <w:bottom w:w="0" w:type="dxa"/>
            <w:right w:w="108" w:type="dxa"/>
          </w:tblCellMar>
        </w:tblPrEx>
        <w:trPr>
          <w:trHeight w:val="379" w:hRule="exact"/>
        </w:trPr>
        <w:tc>
          <w:tcPr>
            <w:tcW w:w="3045"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项  目</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行次</w:t>
            </w:r>
          </w:p>
        </w:tc>
        <w:tc>
          <w:tcPr>
            <w:tcW w:w="102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决算数</w:t>
            </w:r>
          </w:p>
        </w:tc>
        <w:tc>
          <w:tcPr>
            <w:tcW w:w="25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项  目</w:t>
            </w:r>
          </w:p>
        </w:tc>
        <w:tc>
          <w:tcPr>
            <w:tcW w:w="517" w:type="dxa"/>
            <w:tcBorders>
              <w:top w:val="nil"/>
              <w:left w:val="single" w:color="auto" w:sz="4" w:space="0"/>
              <w:bottom w:val="single" w:color="auto" w:sz="4" w:space="0"/>
              <w:right w:val="nil"/>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行次</w:t>
            </w:r>
          </w:p>
        </w:tc>
        <w:tc>
          <w:tcPr>
            <w:tcW w:w="1302"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决算数</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栏  次</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2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5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栏  次</w:t>
            </w:r>
          </w:p>
        </w:tc>
        <w:tc>
          <w:tcPr>
            <w:tcW w:w="51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一、一般公共预算财政拨款收入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w:t>
            </w:r>
          </w:p>
        </w:tc>
        <w:tc>
          <w:tcPr>
            <w:tcW w:w="1022" w:type="dxa"/>
            <w:tcBorders>
              <w:top w:val="nil"/>
              <w:left w:val="nil"/>
              <w:bottom w:val="single" w:color="auto" w:sz="4" w:space="0"/>
              <w:right w:val="single" w:color="auto" w:sz="4" w:space="0"/>
            </w:tcBorders>
          </w:tcPr>
          <w:p>
            <w:pPr>
              <w:spacing w:line="240" w:lineRule="exact"/>
              <w:jc w:val="center"/>
              <w:rPr>
                <w:rFonts w:hint="eastAsia" w:ascii="仿宋_GB2312" w:eastAsia="仿宋_GB2312"/>
                <w:sz w:val="18"/>
                <w:szCs w:val="18"/>
              </w:rPr>
            </w:pPr>
            <w:r>
              <w:rPr>
                <w:rFonts w:hint="eastAsia" w:ascii="仿宋_GB2312" w:eastAsia="仿宋_GB2312"/>
                <w:sz w:val="18"/>
                <w:szCs w:val="18"/>
              </w:rPr>
              <w:t>748.21</w:t>
            </w: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一、一般公共服务支出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31</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1,136.39</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二、政府性基金预算财政拨款收入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w:t>
            </w:r>
          </w:p>
        </w:tc>
        <w:tc>
          <w:tcPr>
            <w:tcW w:w="1022" w:type="dxa"/>
            <w:tcBorders>
              <w:top w:val="nil"/>
              <w:left w:val="nil"/>
              <w:bottom w:val="single" w:color="auto" w:sz="4" w:space="0"/>
              <w:right w:val="single" w:color="auto" w:sz="4" w:space="0"/>
            </w:tcBorders>
          </w:tcPr>
          <w:p>
            <w:pPr>
              <w:spacing w:line="240" w:lineRule="exact"/>
              <w:jc w:val="center"/>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二、外交支出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32</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34"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三、国有资本经营预算财政拨款收入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3</w:t>
            </w:r>
          </w:p>
        </w:tc>
        <w:tc>
          <w:tcPr>
            <w:tcW w:w="1022" w:type="dxa"/>
            <w:tcBorders>
              <w:top w:val="nil"/>
              <w:left w:val="nil"/>
              <w:bottom w:val="single" w:color="auto" w:sz="4" w:space="0"/>
              <w:right w:val="single" w:color="auto" w:sz="4" w:space="0"/>
            </w:tcBorders>
          </w:tcPr>
          <w:p>
            <w:pPr>
              <w:spacing w:line="240" w:lineRule="exact"/>
              <w:jc w:val="center"/>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三、国防支出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33</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02"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四、上级补助收入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4</w:t>
            </w:r>
          </w:p>
        </w:tc>
        <w:tc>
          <w:tcPr>
            <w:tcW w:w="1022" w:type="dxa"/>
            <w:tcBorders>
              <w:top w:val="nil"/>
              <w:left w:val="nil"/>
              <w:bottom w:val="single" w:color="auto" w:sz="4" w:space="0"/>
              <w:right w:val="single" w:color="auto" w:sz="4" w:space="0"/>
            </w:tcBorders>
          </w:tcPr>
          <w:p>
            <w:pPr>
              <w:spacing w:line="240" w:lineRule="exact"/>
              <w:jc w:val="center"/>
              <w:rPr>
                <w:rFonts w:hint="eastAsia" w:ascii="仿宋_GB2312" w:eastAsia="仿宋_GB2312"/>
                <w:sz w:val="18"/>
                <w:szCs w:val="18"/>
              </w:rPr>
            </w:pPr>
            <w:r>
              <w:rPr>
                <w:rFonts w:hint="eastAsia" w:ascii="仿宋_GB2312" w:eastAsia="仿宋_GB2312"/>
                <w:sz w:val="18"/>
                <w:szCs w:val="18"/>
              </w:rPr>
              <w:t>250.60</w:t>
            </w: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四、公共安全支出</w:t>
            </w:r>
          </w:p>
        </w:tc>
        <w:tc>
          <w:tcPr>
            <w:tcW w:w="51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34</w:t>
            </w:r>
          </w:p>
        </w:tc>
        <w:tc>
          <w:tcPr>
            <w:tcW w:w="1302"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五、事业收入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5</w:t>
            </w:r>
          </w:p>
        </w:tc>
        <w:tc>
          <w:tcPr>
            <w:tcW w:w="1022" w:type="dxa"/>
            <w:tcBorders>
              <w:top w:val="nil"/>
              <w:left w:val="nil"/>
              <w:bottom w:val="single" w:color="auto" w:sz="4" w:space="0"/>
              <w:right w:val="single" w:color="auto" w:sz="4" w:space="0"/>
            </w:tcBorders>
          </w:tcPr>
          <w:p>
            <w:pPr>
              <w:spacing w:line="240" w:lineRule="exact"/>
              <w:jc w:val="center"/>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五、教育支出</w:t>
            </w:r>
          </w:p>
        </w:tc>
        <w:tc>
          <w:tcPr>
            <w:tcW w:w="51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35</w:t>
            </w:r>
          </w:p>
        </w:tc>
        <w:tc>
          <w:tcPr>
            <w:tcW w:w="1302"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六、经营收入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6</w:t>
            </w:r>
          </w:p>
        </w:tc>
        <w:tc>
          <w:tcPr>
            <w:tcW w:w="1022" w:type="dxa"/>
            <w:tcBorders>
              <w:top w:val="nil"/>
              <w:left w:val="nil"/>
              <w:bottom w:val="single" w:color="auto" w:sz="4" w:space="0"/>
              <w:right w:val="single" w:color="auto" w:sz="4" w:space="0"/>
            </w:tcBorders>
          </w:tcPr>
          <w:p>
            <w:pPr>
              <w:spacing w:line="240" w:lineRule="exact"/>
              <w:jc w:val="center"/>
              <w:rPr>
                <w:rFonts w:hint="eastAsia" w:ascii="仿宋_GB2312" w:eastAsia="仿宋_GB2312"/>
                <w:sz w:val="18"/>
                <w:szCs w:val="18"/>
              </w:rPr>
            </w:pPr>
            <w:r>
              <w:rPr>
                <w:rFonts w:hint="eastAsia" w:ascii="仿宋_GB2312" w:eastAsia="仿宋_GB2312"/>
                <w:sz w:val="18"/>
                <w:szCs w:val="18"/>
              </w:rPr>
              <w:t>294.86</w:t>
            </w: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六、科学技术支出</w:t>
            </w:r>
          </w:p>
        </w:tc>
        <w:tc>
          <w:tcPr>
            <w:tcW w:w="51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36</w:t>
            </w:r>
          </w:p>
        </w:tc>
        <w:tc>
          <w:tcPr>
            <w:tcW w:w="1302"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七、附属单位上缴收入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7</w:t>
            </w:r>
          </w:p>
        </w:tc>
        <w:tc>
          <w:tcPr>
            <w:tcW w:w="1022" w:type="dxa"/>
            <w:tcBorders>
              <w:top w:val="nil"/>
              <w:left w:val="nil"/>
              <w:bottom w:val="single" w:color="auto" w:sz="4" w:space="0"/>
              <w:right w:val="single" w:color="auto" w:sz="4" w:space="0"/>
            </w:tcBorders>
          </w:tcPr>
          <w:p>
            <w:pPr>
              <w:spacing w:line="240" w:lineRule="exact"/>
              <w:jc w:val="center"/>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七、文化旅游体育与传媒支出</w:t>
            </w:r>
          </w:p>
        </w:tc>
        <w:tc>
          <w:tcPr>
            <w:tcW w:w="51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37</w:t>
            </w:r>
          </w:p>
        </w:tc>
        <w:tc>
          <w:tcPr>
            <w:tcW w:w="1302"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八、其他收入</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8</w:t>
            </w:r>
          </w:p>
        </w:tc>
        <w:tc>
          <w:tcPr>
            <w:tcW w:w="1022" w:type="dxa"/>
            <w:tcBorders>
              <w:top w:val="nil"/>
              <w:left w:val="nil"/>
              <w:bottom w:val="single" w:color="auto" w:sz="4" w:space="0"/>
              <w:right w:val="single" w:color="auto" w:sz="4" w:space="0"/>
            </w:tcBorders>
          </w:tcPr>
          <w:p>
            <w:pPr>
              <w:spacing w:line="240" w:lineRule="exact"/>
              <w:jc w:val="center"/>
              <w:rPr>
                <w:rFonts w:hint="eastAsia" w:ascii="仿宋_GB2312" w:eastAsia="仿宋_GB2312"/>
                <w:sz w:val="18"/>
                <w:szCs w:val="18"/>
              </w:rPr>
            </w:pPr>
            <w:r>
              <w:rPr>
                <w:rFonts w:hint="eastAsia" w:ascii="仿宋_GB2312" w:eastAsia="仿宋_GB2312"/>
                <w:sz w:val="18"/>
                <w:szCs w:val="18"/>
              </w:rPr>
              <w:t>6.07</w:t>
            </w: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八、社会保障和就业支出</w:t>
            </w:r>
          </w:p>
        </w:tc>
        <w:tc>
          <w:tcPr>
            <w:tcW w:w="51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38</w:t>
            </w:r>
          </w:p>
        </w:tc>
        <w:tc>
          <w:tcPr>
            <w:tcW w:w="1302"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63.18</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9</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九、卫生健康支出</w:t>
            </w:r>
          </w:p>
        </w:tc>
        <w:tc>
          <w:tcPr>
            <w:tcW w:w="51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39</w:t>
            </w:r>
          </w:p>
        </w:tc>
        <w:tc>
          <w:tcPr>
            <w:tcW w:w="1302"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10</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十、节能环保支出</w:t>
            </w:r>
          </w:p>
        </w:tc>
        <w:tc>
          <w:tcPr>
            <w:tcW w:w="51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40</w:t>
            </w:r>
          </w:p>
        </w:tc>
        <w:tc>
          <w:tcPr>
            <w:tcW w:w="1302"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11</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十一、城乡社区支出</w:t>
            </w:r>
          </w:p>
        </w:tc>
        <w:tc>
          <w:tcPr>
            <w:tcW w:w="51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41</w:t>
            </w:r>
          </w:p>
        </w:tc>
        <w:tc>
          <w:tcPr>
            <w:tcW w:w="1302"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12</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十二、农林水支出</w:t>
            </w:r>
          </w:p>
        </w:tc>
        <w:tc>
          <w:tcPr>
            <w:tcW w:w="51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42</w:t>
            </w:r>
          </w:p>
        </w:tc>
        <w:tc>
          <w:tcPr>
            <w:tcW w:w="1302"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13</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十三、交通运输支出</w:t>
            </w:r>
          </w:p>
        </w:tc>
        <w:tc>
          <w:tcPr>
            <w:tcW w:w="51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43</w:t>
            </w:r>
          </w:p>
        </w:tc>
        <w:tc>
          <w:tcPr>
            <w:tcW w:w="1302"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14</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十四、资源勘探工业信息等支出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44</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15</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十五、商业服务业等支出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45</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16</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十六、金融支出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46</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17</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十七、援助其他地区支出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47</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18</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十八、自然资源海洋气象等支出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48</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19</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十九、住房保障支出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49</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31.68</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20</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二十、粮油物资储备支出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50</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21</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二十一、国有资本经营预算支出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51</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22</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二十二、灾害防治及应急管理支出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52</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23</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二十三、其他支出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53</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24</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二十四、债务还本支出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54</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25</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二十五、债务付息支出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55</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26</w:t>
            </w:r>
          </w:p>
        </w:tc>
        <w:tc>
          <w:tcPr>
            <w:tcW w:w="102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二十六、抗疫特别国债安排的支出</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56</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b/>
                <w:bCs/>
                <w:sz w:val="18"/>
                <w:szCs w:val="18"/>
              </w:rPr>
            </w:pPr>
            <w:r>
              <w:rPr>
                <w:rFonts w:hint="eastAsia" w:ascii="仿宋_GB2312" w:eastAsia="仿宋_GB2312"/>
                <w:b/>
                <w:bCs/>
                <w:sz w:val="18"/>
                <w:szCs w:val="18"/>
              </w:rPr>
              <w:t>本年收入合计</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b/>
                <w:bCs/>
                <w:sz w:val="18"/>
                <w:szCs w:val="18"/>
              </w:rPr>
            </w:pPr>
            <w:r>
              <w:rPr>
                <w:rFonts w:hint="eastAsia" w:ascii="仿宋_GB2312" w:eastAsia="仿宋_GB2312"/>
                <w:sz w:val="18"/>
                <w:szCs w:val="18"/>
              </w:rPr>
              <w:t>27</w:t>
            </w:r>
          </w:p>
        </w:tc>
        <w:tc>
          <w:tcPr>
            <w:tcW w:w="102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1,299.74</w:t>
            </w:r>
          </w:p>
        </w:tc>
        <w:tc>
          <w:tcPr>
            <w:tcW w:w="25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b/>
                <w:bCs/>
                <w:sz w:val="18"/>
                <w:szCs w:val="18"/>
              </w:rPr>
            </w:pPr>
            <w:r>
              <w:rPr>
                <w:rFonts w:hint="eastAsia" w:ascii="仿宋_GB2312" w:eastAsia="仿宋_GB2312"/>
                <w:b/>
                <w:bCs/>
                <w:sz w:val="18"/>
                <w:szCs w:val="18"/>
              </w:rPr>
              <w:t>本年支出合计</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57</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1,231.25</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使用非财政拨款结余</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28</w:t>
            </w:r>
          </w:p>
        </w:tc>
        <w:tc>
          <w:tcPr>
            <w:tcW w:w="102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250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结余分配</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58</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6.07</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年初结转和结余</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29</w:t>
            </w:r>
          </w:p>
        </w:tc>
        <w:tc>
          <w:tcPr>
            <w:tcW w:w="102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163.24</w:t>
            </w:r>
          </w:p>
        </w:tc>
        <w:tc>
          <w:tcPr>
            <w:tcW w:w="2502" w:type="dxa"/>
            <w:tcBorders>
              <w:top w:val="nil"/>
              <w:left w:val="nil"/>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年末结转和结余</w:t>
            </w:r>
          </w:p>
        </w:tc>
        <w:tc>
          <w:tcPr>
            <w:tcW w:w="51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59</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225.65</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b/>
                <w:bCs/>
                <w:sz w:val="18"/>
                <w:szCs w:val="18"/>
              </w:rPr>
              <w:t>总计</w:t>
            </w:r>
          </w:p>
        </w:tc>
        <w:tc>
          <w:tcPr>
            <w:tcW w:w="667"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30</w:t>
            </w:r>
          </w:p>
        </w:tc>
        <w:tc>
          <w:tcPr>
            <w:tcW w:w="102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1,462.98</w:t>
            </w:r>
          </w:p>
        </w:tc>
        <w:tc>
          <w:tcPr>
            <w:tcW w:w="25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总计</w:t>
            </w:r>
          </w:p>
        </w:tc>
        <w:tc>
          <w:tcPr>
            <w:tcW w:w="51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60</w:t>
            </w:r>
          </w:p>
        </w:tc>
        <w:tc>
          <w:tcPr>
            <w:tcW w:w="1302"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1,462.98</w:t>
            </w:r>
          </w:p>
        </w:tc>
      </w:tr>
    </w:tbl>
    <w:p>
      <w:pPr>
        <w:ind w:firstLine="88" w:firstLineChars="50"/>
        <w:rPr>
          <w:rFonts w:ascii="楷体_GB2312" w:eastAsia="楷体_GB2312"/>
          <w:sz w:val="28"/>
          <w:szCs w:val="28"/>
        </w:rPr>
        <w:sectPr>
          <w:pgSz w:w="11906" w:h="16838"/>
          <w:pgMar w:top="1701" w:right="1531" w:bottom="1701" w:left="1531" w:header="0" w:footer="1418" w:gutter="0"/>
          <w:cols w:space="720" w:num="1"/>
          <w:docGrid w:type="linesAndChars" w:linePitch="610" w:charSpace="-849"/>
        </w:sectPr>
      </w:pPr>
      <w:r>
        <w:rPr>
          <w:rFonts w:hint="eastAsia" w:ascii="仿宋_GB2312" w:hAnsi="宋体" w:eastAsia="仿宋_GB2312"/>
          <w:sz w:val="18"/>
          <w:szCs w:val="18"/>
        </w:rPr>
        <w:t>注：1.本表反映单位本年度的总收支和年末结转结余情况。2.本套报表金额单位转换时可能存在尾数误差。</w:t>
      </w:r>
    </w:p>
    <w:p>
      <w:pPr>
        <w:jc w:val="center"/>
        <w:rPr>
          <w:rFonts w:hint="eastAsia" w:ascii="方正小标宋简体" w:eastAsia="方正小标宋简体"/>
          <w:sz w:val="44"/>
          <w:szCs w:val="44"/>
        </w:rPr>
      </w:pPr>
      <w:r>
        <w:rPr>
          <w:rFonts w:hint="eastAsia" w:ascii="方正小标宋简体" w:eastAsia="方正小标宋简体"/>
          <w:sz w:val="44"/>
          <w:szCs w:val="44"/>
        </w:rPr>
        <w:t>收入决算表</w:t>
      </w:r>
    </w:p>
    <w:p>
      <w:pPr>
        <w:wordWrap w:val="0"/>
        <w:spacing w:line="400" w:lineRule="exact"/>
        <w:ind w:right="276"/>
        <w:jc w:val="right"/>
        <w:rPr>
          <w:rFonts w:ascii="楷体_GB2312" w:eastAsia="楷体_GB2312"/>
          <w:sz w:val="28"/>
          <w:szCs w:val="28"/>
        </w:rPr>
      </w:pPr>
      <w:r>
        <w:rPr>
          <w:rFonts w:hint="eastAsia" w:ascii="楷体_GB2312" w:eastAsia="楷体_GB2312"/>
          <w:sz w:val="28"/>
          <w:szCs w:val="28"/>
        </w:rPr>
        <w:t xml:space="preserve"> 公开02表</w:t>
      </w:r>
    </w:p>
    <w:tbl>
      <w:tblPr>
        <w:tblStyle w:val="11"/>
        <w:tblpPr w:leftFromText="180" w:rightFromText="180" w:vertAnchor="text" w:horzAnchor="margin" w:tblpY="510"/>
        <w:tblW w:w="14000" w:type="dxa"/>
        <w:tblInd w:w="0" w:type="dxa"/>
        <w:tblLayout w:type="fixed"/>
        <w:tblCellMar>
          <w:top w:w="0" w:type="dxa"/>
          <w:left w:w="108" w:type="dxa"/>
          <w:bottom w:w="0" w:type="dxa"/>
          <w:right w:w="108" w:type="dxa"/>
        </w:tblCellMar>
      </w:tblPr>
      <w:tblGrid>
        <w:gridCol w:w="1384"/>
        <w:gridCol w:w="2835"/>
        <w:gridCol w:w="1559"/>
        <w:gridCol w:w="1560"/>
        <w:gridCol w:w="1559"/>
        <w:gridCol w:w="1417"/>
        <w:gridCol w:w="1276"/>
        <w:gridCol w:w="1276"/>
        <w:gridCol w:w="1134"/>
      </w:tblGrid>
      <w:tr>
        <w:tblPrEx>
          <w:tblCellMar>
            <w:top w:w="0" w:type="dxa"/>
            <w:left w:w="108" w:type="dxa"/>
            <w:bottom w:w="0" w:type="dxa"/>
            <w:right w:w="108" w:type="dxa"/>
          </w:tblCellMar>
        </w:tblPrEx>
        <w:trPr>
          <w:trHeight w:val="458" w:hRule="atLeast"/>
        </w:trPr>
        <w:tc>
          <w:tcPr>
            <w:tcW w:w="421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155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本年收入合计</w:t>
            </w:r>
          </w:p>
        </w:tc>
        <w:tc>
          <w:tcPr>
            <w:tcW w:w="156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财政拨款收入</w:t>
            </w:r>
          </w:p>
        </w:tc>
        <w:tc>
          <w:tcPr>
            <w:tcW w:w="155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上级补助收入</w:t>
            </w:r>
          </w:p>
        </w:tc>
        <w:tc>
          <w:tcPr>
            <w:tcW w:w="1417" w:type="dxa"/>
            <w:vMerge w:val="restart"/>
            <w:tcBorders>
              <w:top w:val="single" w:color="auto" w:sz="4" w:space="0"/>
              <w:left w:val="single" w:color="auto" w:sz="4" w:space="0"/>
              <w:right w:val="single" w:color="auto" w:sz="4" w:space="0"/>
            </w:tcBorders>
            <w:vAlign w:val="center"/>
          </w:tcPr>
          <w:p>
            <w:pPr>
              <w:widowControl/>
              <w:spacing w:line="300" w:lineRule="exact"/>
              <w:ind w:firstLine="216" w:firstLineChars="100"/>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事业收入</w:t>
            </w:r>
          </w:p>
        </w:tc>
        <w:tc>
          <w:tcPr>
            <w:tcW w:w="1276"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经营收入</w:t>
            </w:r>
          </w:p>
        </w:tc>
        <w:tc>
          <w:tcPr>
            <w:tcW w:w="1276" w:type="dxa"/>
            <w:vMerge w:val="restart"/>
            <w:tcBorders>
              <w:top w:val="single" w:color="auto" w:sz="4" w:space="0"/>
              <w:left w:val="single" w:color="auto" w:sz="4" w:space="0"/>
              <w:right w:val="single" w:color="auto" w:sz="4" w:space="0"/>
            </w:tcBorders>
            <w:vAlign w:val="center"/>
          </w:tcPr>
          <w:p>
            <w:pPr>
              <w:widowControl/>
              <w:spacing w:line="300" w:lineRule="exact"/>
              <w:ind w:left="648" w:hanging="648" w:hangingChars="300"/>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附属单位    </w:t>
            </w:r>
          </w:p>
          <w:p>
            <w:pPr>
              <w:widowControl/>
              <w:spacing w:line="300" w:lineRule="exact"/>
              <w:ind w:left="648" w:hanging="648" w:hangingChars="300"/>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上缴收入</w:t>
            </w:r>
          </w:p>
        </w:tc>
        <w:tc>
          <w:tcPr>
            <w:tcW w:w="1134"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其他收入</w:t>
            </w:r>
          </w:p>
        </w:tc>
      </w:tr>
      <w:tr>
        <w:tblPrEx>
          <w:tblCellMar>
            <w:top w:w="0" w:type="dxa"/>
            <w:left w:w="108" w:type="dxa"/>
            <w:bottom w:w="0" w:type="dxa"/>
            <w:right w:w="108" w:type="dxa"/>
          </w:tblCellMar>
        </w:tblPrEx>
        <w:trPr>
          <w:trHeight w:val="457"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  科目编码</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1559"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560"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559"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417" w:type="dxa"/>
            <w:vMerge w:val="continue"/>
            <w:tcBorders>
              <w:left w:val="single" w:color="auto" w:sz="4" w:space="0"/>
              <w:right w:val="single" w:color="auto" w:sz="4" w:space="0"/>
            </w:tcBorders>
            <w:vAlign w:val="center"/>
          </w:tcPr>
          <w:p>
            <w:pPr>
              <w:widowControl/>
              <w:spacing w:line="300" w:lineRule="exact"/>
              <w:ind w:firstLine="216" w:firstLineChars="100"/>
              <w:rPr>
                <w:rFonts w:hint="eastAsia" w:ascii="仿宋_GB2312" w:hAnsi="宋体" w:eastAsia="仿宋_GB2312" w:cs="宋体"/>
                <w:kern w:val="0"/>
                <w:sz w:val="22"/>
                <w:szCs w:val="22"/>
              </w:rPr>
            </w:pPr>
          </w:p>
        </w:tc>
        <w:tc>
          <w:tcPr>
            <w:tcW w:w="1276"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276" w:type="dxa"/>
            <w:vMerge w:val="continue"/>
            <w:tcBorders>
              <w:left w:val="single" w:color="auto" w:sz="4" w:space="0"/>
              <w:right w:val="single" w:color="auto" w:sz="4" w:space="0"/>
            </w:tcBorders>
            <w:vAlign w:val="center"/>
          </w:tcPr>
          <w:p>
            <w:pPr>
              <w:widowControl/>
              <w:spacing w:line="300" w:lineRule="exact"/>
              <w:ind w:left="648" w:hanging="648" w:hangingChars="300"/>
              <w:jc w:val="center"/>
              <w:rPr>
                <w:rFonts w:hint="eastAsia" w:ascii="仿宋_GB2312" w:hAnsi="宋体" w:eastAsia="仿宋_GB2312" w:cs="宋体"/>
                <w:kern w:val="0"/>
                <w:sz w:val="22"/>
                <w:szCs w:val="22"/>
              </w:rPr>
            </w:pPr>
          </w:p>
        </w:tc>
        <w:tc>
          <w:tcPr>
            <w:tcW w:w="1134"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97" w:hRule="atLeast"/>
        </w:trPr>
        <w:tc>
          <w:tcPr>
            <w:tcW w:w="421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w:t>
            </w:r>
          </w:p>
        </w:tc>
      </w:tr>
      <w:tr>
        <w:tblPrEx>
          <w:tblCellMar>
            <w:top w:w="0" w:type="dxa"/>
            <w:left w:w="108" w:type="dxa"/>
            <w:bottom w:w="0" w:type="dxa"/>
            <w:right w:w="108" w:type="dxa"/>
          </w:tblCellMar>
        </w:tblPrEx>
        <w:trPr>
          <w:trHeight w:val="397" w:hRule="atLeast"/>
        </w:trPr>
        <w:tc>
          <w:tcPr>
            <w:tcW w:w="421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1,299.74</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748.21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250.60</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294.86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sz w:val="18"/>
                <w:szCs w:val="18"/>
              </w:rPr>
            </w:pPr>
            <w:r>
              <w:rPr>
                <w:rFonts w:ascii="仿宋_GB2312" w:eastAsia="仿宋_GB2312"/>
                <w:sz w:val="18"/>
                <w:szCs w:val="18"/>
              </w:rPr>
              <w:t>6.07</w:t>
            </w:r>
          </w:p>
        </w:tc>
      </w:tr>
      <w:tr>
        <w:tblPrEx>
          <w:tblCellMar>
            <w:top w:w="0" w:type="dxa"/>
            <w:left w:w="108" w:type="dxa"/>
            <w:bottom w:w="0" w:type="dxa"/>
            <w:right w:w="108" w:type="dxa"/>
          </w:tblCellMar>
        </w:tblPrEx>
        <w:trPr>
          <w:trHeight w:val="397" w:hRule="atLeast"/>
        </w:trPr>
        <w:tc>
          <w:tcPr>
            <w:tcW w:w="1384" w:type="dxa"/>
            <w:tcBorders>
              <w:top w:val="nil"/>
              <w:left w:val="single" w:color="000000" w:sz="4" w:space="0"/>
              <w:bottom w:val="single" w:color="000000" w:sz="4" w:space="0"/>
              <w:right w:val="single" w:color="000000" w:sz="4" w:space="0"/>
            </w:tcBorders>
            <w:shd w:val="clear" w:color="auto" w:fill="FFFFFF"/>
          </w:tcPr>
          <w:p>
            <w:pPr>
              <w:spacing w:line="240" w:lineRule="exact"/>
              <w:jc w:val="left"/>
              <w:rPr>
                <w:rFonts w:hint="eastAsia" w:ascii="仿宋_GB2312" w:eastAsia="仿宋_GB2312"/>
                <w:sz w:val="16"/>
                <w:szCs w:val="16"/>
              </w:rPr>
            </w:pPr>
            <w:r>
              <w:rPr>
                <w:rFonts w:ascii="仿宋_GB2312" w:eastAsia="仿宋_GB2312"/>
                <w:sz w:val="16"/>
                <w:szCs w:val="16"/>
              </w:rPr>
              <w:t>201</w:t>
            </w:r>
          </w:p>
        </w:tc>
        <w:tc>
          <w:tcPr>
            <w:tcW w:w="2835" w:type="dxa"/>
            <w:tcBorders>
              <w:top w:val="single" w:color="auto" w:sz="4" w:space="0"/>
              <w:left w:val="single" w:color="auto" w:sz="4" w:space="0"/>
              <w:bottom w:val="single" w:color="auto" w:sz="4" w:space="0"/>
              <w:right w:val="single" w:color="auto" w:sz="4" w:space="0"/>
            </w:tcBorders>
          </w:tcPr>
          <w:p>
            <w:pPr>
              <w:spacing w:line="240" w:lineRule="exact"/>
              <w:rPr>
                <w:rFonts w:hint="eastAsia" w:ascii="仿宋_GB2312" w:eastAsia="仿宋_GB2312"/>
                <w:sz w:val="16"/>
                <w:szCs w:val="16"/>
              </w:rPr>
            </w:pPr>
            <w:r>
              <w:rPr>
                <w:rFonts w:hint="eastAsia" w:ascii="仿宋_GB2312" w:eastAsia="仿宋_GB2312"/>
                <w:sz w:val="16"/>
                <w:szCs w:val="16"/>
              </w:rPr>
              <w:t>一般公共服务支出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1,204.88</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653.35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250.60</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294.86</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18"/>
                <w:szCs w:val="18"/>
              </w:rPr>
            </w:pPr>
            <w:r>
              <w:rPr>
                <w:rFonts w:ascii="仿宋_GB2312" w:eastAsia="仿宋_GB2312"/>
                <w:sz w:val="18"/>
                <w:szCs w:val="18"/>
              </w:rPr>
              <w:t>6.07</w:t>
            </w:r>
          </w:p>
        </w:tc>
      </w:tr>
      <w:tr>
        <w:tblPrEx>
          <w:tblCellMar>
            <w:top w:w="0" w:type="dxa"/>
            <w:left w:w="108" w:type="dxa"/>
            <w:bottom w:w="0" w:type="dxa"/>
            <w:right w:w="108" w:type="dxa"/>
          </w:tblCellMar>
        </w:tblPrEx>
        <w:trPr>
          <w:trHeight w:val="397" w:hRule="atLeast"/>
        </w:trPr>
        <w:tc>
          <w:tcPr>
            <w:tcW w:w="1384" w:type="dxa"/>
            <w:tcBorders>
              <w:top w:val="nil"/>
              <w:left w:val="single" w:color="000000" w:sz="4" w:space="0"/>
              <w:bottom w:val="single" w:color="000000" w:sz="4" w:space="0"/>
              <w:right w:val="single" w:color="000000" w:sz="4" w:space="0"/>
            </w:tcBorders>
            <w:shd w:val="clear" w:color="auto" w:fill="FFFFFF"/>
          </w:tcPr>
          <w:p>
            <w:pPr>
              <w:spacing w:line="240" w:lineRule="exact"/>
              <w:jc w:val="left"/>
              <w:rPr>
                <w:rFonts w:hint="eastAsia" w:ascii="仿宋_GB2312" w:eastAsia="仿宋_GB2312"/>
                <w:sz w:val="16"/>
                <w:szCs w:val="16"/>
              </w:rPr>
            </w:pPr>
            <w:r>
              <w:rPr>
                <w:rFonts w:ascii="仿宋_GB2312" w:eastAsia="仿宋_GB2312"/>
                <w:sz w:val="16"/>
                <w:szCs w:val="16"/>
              </w:rPr>
              <w:t>20138</w:t>
            </w:r>
          </w:p>
        </w:tc>
        <w:tc>
          <w:tcPr>
            <w:tcW w:w="2835" w:type="dxa"/>
            <w:tcBorders>
              <w:top w:val="nil"/>
              <w:left w:val="nil"/>
              <w:bottom w:val="single" w:color="auto" w:sz="4" w:space="0"/>
              <w:right w:val="single" w:color="auto" w:sz="4" w:space="0"/>
            </w:tcBorders>
          </w:tcPr>
          <w:p>
            <w:pPr>
              <w:spacing w:line="240" w:lineRule="exact"/>
              <w:rPr>
                <w:rFonts w:hint="eastAsia" w:ascii="仿宋_GB2312" w:eastAsia="仿宋_GB2312"/>
                <w:sz w:val="16"/>
                <w:szCs w:val="16"/>
              </w:rPr>
            </w:pPr>
            <w:r>
              <w:rPr>
                <w:rFonts w:hint="eastAsia" w:ascii="仿宋_GB2312" w:eastAsia="仿宋_GB2312"/>
                <w:sz w:val="16"/>
                <w:szCs w:val="16"/>
              </w:rPr>
              <w:t>市场监督管理事务</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1,204.88</w:t>
            </w:r>
          </w:p>
        </w:tc>
        <w:tc>
          <w:tcPr>
            <w:tcW w:w="15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653.35</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250.60</w:t>
            </w:r>
          </w:p>
        </w:tc>
        <w:tc>
          <w:tcPr>
            <w:tcW w:w="141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294.86</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sz w:val="18"/>
                <w:szCs w:val="18"/>
              </w:rPr>
            </w:pP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sz w:val="18"/>
                <w:szCs w:val="18"/>
              </w:rPr>
            </w:pPr>
            <w:r>
              <w:rPr>
                <w:rFonts w:ascii="仿宋_GB2312" w:eastAsia="仿宋_GB2312"/>
                <w:sz w:val="18"/>
                <w:szCs w:val="18"/>
              </w:rPr>
              <w:t>6.07</w:t>
            </w:r>
          </w:p>
        </w:tc>
      </w:tr>
      <w:tr>
        <w:tblPrEx>
          <w:tblCellMar>
            <w:top w:w="0" w:type="dxa"/>
            <w:left w:w="108" w:type="dxa"/>
            <w:bottom w:w="0" w:type="dxa"/>
            <w:right w:w="108" w:type="dxa"/>
          </w:tblCellMar>
        </w:tblPrEx>
        <w:trPr>
          <w:trHeight w:val="397" w:hRule="atLeast"/>
        </w:trPr>
        <w:tc>
          <w:tcPr>
            <w:tcW w:w="1384" w:type="dxa"/>
            <w:tcBorders>
              <w:top w:val="nil"/>
              <w:left w:val="single" w:color="000000" w:sz="4" w:space="0"/>
              <w:bottom w:val="single" w:color="000000" w:sz="4" w:space="0"/>
              <w:right w:val="single" w:color="000000" w:sz="4" w:space="0"/>
            </w:tcBorders>
            <w:shd w:val="clear" w:color="auto" w:fill="FFFFFF"/>
          </w:tcPr>
          <w:p>
            <w:pPr>
              <w:spacing w:line="240" w:lineRule="exact"/>
              <w:jc w:val="left"/>
              <w:rPr>
                <w:rFonts w:hint="eastAsia" w:ascii="仿宋_GB2312" w:eastAsia="仿宋_GB2312"/>
                <w:sz w:val="16"/>
                <w:szCs w:val="16"/>
              </w:rPr>
            </w:pPr>
            <w:r>
              <w:rPr>
                <w:rFonts w:ascii="仿宋_GB2312" w:eastAsia="仿宋_GB2312"/>
                <w:sz w:val="16"/>
                <w:szCs w:val="16"/>
              </w:rPr>
              <w:t>2013850</w:t>
            </w:r>
          </w:p>
        </w:tc>
        <w:tc>
          <w:tcPr>
            <w:tcW w:w="2835" w:type="dxa"/>
            <w:tcBorders>
              <w:top w:val="nil"/>
              <w:left w:val="nil"/>
              <w:bottom w:val="single" w:color="auto" w:sz="4" w:space="0"/>
              <w:right w:val="single" w:color="auto" w:sz="4" w:space="0"/>
            </w:tcBorders>
          </w:tcPr>
          <w:p>
            <w:pPr>
              <w:spacing w:line="240" w:lineRule="exact"/>
              <w:ind w:firstLine="156" w:firstLineChars="100"/>
              <w:rPr>
                <w:rFonts w:hint="eastAsia" w:ascii="仿宋_GB2312" w:eastAsia="仿宋_GB2312"/>
                <w:sz w:val="16"/>
                <w:szCs w:val="16"/>
              </w:rPr>
            </w:pPr>
            <w:r>
              <w:rPr>
                <w:rFonts w:hint="eastAsia" w:ascii="仿宋_GB2312" w:eastAsia="仿宋_GB2312"/>
                <w:sz w:val="16"/>
                <w:szCs w:val="16"/>
              </w:rPr>
              <w:t>事业运行</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1,204.88</w:t>
            </w:r>
          </w:p>
        </w:tc>
        <w:tc>
          <w:tcPr>
            <w:tcW w:w="15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653.35</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250.60</w:t>
            </w:r>
          </w:p>
        </w:tc>
        <w:tc>
          <w:tcPr>
            <w:tcW w:w="141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294.86</w:t>
            </w: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6.07</w:t>
            </w:r>
          </w:p>
        </w:tc>
      </w:tr>
      <w:tr>
        <w:tblPrEx>
          <w:tblCellMar>
            <w:top w:w="0" w:type="dxa"/>
            <w:left w:w="108" w:type="dxa"/>
            <w:bottom w:w="0" w:type="dxa"/>
            <w:right w:w="108" w:type="dxa"/>
          </w:tblCellMar>
        </w:tblPrEx>
        <w:trPr>
          <w:trHeight w:val="397" w:hRule="atLeast"/>
        </w:trPr>
        <w:tc>
          <w:tcPr>
            <w:tcW w:w="1384" w:type="dxa"/>
            <w:tcBorders>
              <w:top w:val="nil"/>
              <w:left w:val="single" w:color="000000" w:sz="4" w:space="0"/>
              <w:bottom w:val="single" w:color="000000" w:sz="4" w:space="0"/>
              <w:right w:val="single" w:color="000000" w:sz="4" w:space="0"/>
            </w:tcBorders>
            <w:shd w:val="clear" w:color="auto" w:fill="FFFFFF"/>
          </w:tcPr>
          <w:p>
            <w:pPr>
              <w:spacing w:line="240" w:lineRule="exact"/>
              <w:jc w:val="left"/>
              <w:rPr>
                <w:rFonts w:hint="eastAsia" w:ascii="仿宋_GB2312" w:eastAsia="仿宋_GB2312"/>
                <w:sz w:val="16"/>
                <w:szCs w:val="16"/>
              </w:rPr>
            </w:pPr>
            <w:r>
              <w:rPr>
                <w:rFonts w:ascii="仿宋_GB2312" w:eastAsia="仿宋_GB2312"/>
                <w:sz w:val="16"/>
                <w:szCs w:val="16"/>
              </w:rPr>
              <w:t>208</w:t>
            </w:r>
          </w:p>
        </w:tc>
        <w:tc>
          <w:tcPr>
            <w:tcW w:w="2835" w:type="dxa"/>
            <w:tcBorders>
              <w:top w:val="nil"/>
              <w:left w:val="nil"/>
              <w:bottom w:val="single" w:color="auto" w:sz="4" w:space="0"/>
              <w:right w:val="single" w:color="auto" w:sz="4" w:space="0"/>
            </w:tcBorders>
          </w:tcPr>
          <w:p>
            <w:pPr>
              <w:spacing w:line="240" w:lineRule="exact"/>
              <w:rPr>
                <w:rFonts w:hint="eastAsia" w:ascii="仿宋_GB2312" w:eastAsia="仿宋_GB2312"/>
                <w:sz w:val="16"/>
                <w:szCs w:val="16"/>
              </w:rPr>
            </w:pPr>
            <w:r>
              <w:rPr>
                <w:rFonts w:hint="eastAsia" w:ascii="仿宋_GB2312" w:eastAsia="仿宋_GB2312"/>
                <w:sz w:val="16"/>
                <w:szCs w:val="16"/>
              </w:rPr>
              <w:t>社会保障和就业支出</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63.18</w:t>
            </w:r>
          </w:p>
        </w:tc>
        <w:tc>
          <w:tcPr>
            <w:tcW w:w="15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63.18</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60" w:hRule="atLeast"/>
        </w:trPr>
        <w:tc>
          <w:tcPr>
            <w:tcW w:w="1384" w:type="dxa"/>
            <w:tcBorders>
              <w:top w:val="nil"/>
              <w:left w:val="single" w:color="000000" w:sz="4" w:space="0"/>
              <w:bottom w:val="single" w:color="000000" w:sz="4" w:space="0"/>
              <w:right w:val="single" w:color="000000" w:sz="4" w:space="0"/>
            </w:tcBorders>
            <w:shd w:val="clear" w:color="auto" w:fill="FFFFFF"/>
          </w:tcPr>
          <w:p>
            <w:pPr>
              <w:spacing w:line="240" w:lineRule="exact"/>
              <w:jc w:val="left"/>
              <w:rPr>
                <w:rFonts w:hint="eastAsia" w:ascii="仿宋_GB2312" w:eastAsia="仿宋_GB2312"/>
                <w:sz w:val="16"/>
                <w:szCs w:val="16"/>
              </w:rPr>
            </w:pPr>
            <w:r>
              <w:rPr>
                <w:rFonts w:ascii="仿宋_GB2312" w:eastAsia="仿宋_GB2312"/>
                <w:sz w:val="16"/>
                <w:szCs w:val="16"/>
              </w:rPr>
              <w:t>20805</w:t>
            </w:r>
          </w:p>
        </w:tc>
        <w:tc>
          <w:tcPr>
            <w:tcW w:w="2835" w:type="dxa"/>
            <w:tcBorders>
              <w:top w:val="nil"/>
              <w:left w:val="nil"/>
              <w:bottom w:val="single" w:color="auto" w:sz="4" w:space="0"/>
              <w:right w:val="single" w:color="auto" w:sz="4" w:space="0"/>
            </w:tcBorders>
          </w:tcPr>
          <w:p>
            <w:pPr>
              <w:spacing w:line="240" w:lineRule="exact"/>
              <w:rPr>
                <w:rFonts w:hint="eastAsia" w:ascii="仿宋_GB2312" w:eastAsia="仿宋_GB2312"/>
                <w:sz w:val="16"/>
                <w:szCs w:val="16"/>
              </w:rPr>
            </w:pPr>
            <w:r>
              <w:rPr>
                <w:rFonts w:hint="eastAsia" w:ascii="仿宋_GB2312" w:eastAsia="仿宋_GB2312"/>
                <w:sz w:val="16"/>
                <w:szCs w:val="16"/>
              </w:rPr>
              <w:t>行政事业单位养老支出</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63.18</w:t>
            </w:r>
          </w:p>
        </w:tc>
        <w:tc>
          <w:tcPr>
            <w:tcW w:w="15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63.18</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97" w:hRule="atLeast"/>
        </w:trPr>
        <w:tc>
          <w:tcPr>
            <w:tcW w:w="1384" w:type="dxa"/>
            <w:tcBorders>
              <w:top w:val="nil"/>
              <w:left w:val="single" w:color="000000" w:sz="4" w:space="0"/>
              <w:bottom w:val="single" w:color="000000" w:sz="4" w:space="0"/>
              <w:right w:val="single" w:color="000000" w:sz="4" w:space="0"/>
            </w:tcBorders>
            <w:shd w:val="clear" w:color="auto" w:fill="FFFFFF"/>
          </w:tcPr>
          <w:p>
            <w:pPr>
              <w:spacing w:line="240" w:lineRule="exact"/>
              <w:jc w:val="left"/>
              <w:rPr>
                <w:rFonts w:hint="eastAsia" w:ascii="仿宋_GB2312" w:eastAsia="仿宋_GB2312"/>
                <w:sz w:val="16"/>
                <w:szCs w:val="16"/>
              </w:rPr>
            </w:pPr>
            <w:r>
              <w:rPr>
                <w:rFonts w:ascii="仿宋_GB2312" w:eastAsia="仿宋_GB2312"/>
                <w:sz w:val="16"/>
                <w:szCs w:val="16"/>
              </w:rPr>
              <w:t>2080505</w:t>
            </w:r>
          </w:p>
        </w:tc>
        <w:tc>
          <w:tcPr>
            <w:tcW w:w="2835" w:type="dxa"/>
            <w:tcBorders>
              <w:top w:val="nil"/>
              <w:left w:val="nil"/>
              <w:bottom w:val="single" w:color="auto" w:sz="4" w:space="0"/>
              <w:right w:val="single" w:color="auto" w:sz="4" w:space="0"/>
            </w:tcBorders>
          </w:tcPr>
          <w:p>
            <w:pPr>
              <w:spacing w:line="240" w:lineRule="exact"/>
              <w:rPr>
                <w:rFonts w:hint="eastAsia" w:ascii="仿宋_GB2312" w:eastAsia="仿宋_GB2312"/>
                <w:sz w:val="16"/>
                <w:szCs w:val="16"/>
              </w:rPr>
            </w:pPr>
            <w:r>
              <w:rPr>
                <w:rFonts w:hint="eastAsia" w:ascii="仿宋_GB2312" w:eastAsia="仿宋_GB2312"/>
                <w:sz w:val="16"/>
                <w:szCs w:val="16"/>
              </w:rPr>
              <w:t>机关事业单位基本养老保险缴费支出</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42.12</w:t>
            </w:r>
          </w:p>
        </w:tc>
        <w:tc>
          <w:tcPr>
            <w:tcW w:w="15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42.12</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97" w:hRule="atLeast"/>
        </w:trPr>
        <w:tc>
          <w:tcPr>
            <w:tcW w:w="1384" w:type="dxa"/>
            <w:tcBorders>
              <w:top w:val="nil"/>
              <w:left w:val="single" w:color="000000" w:sz="4" w:space="0"/>
              <w:bottom w:val="single" w:color="000000" w:sz="4" w:space="0"/>
              <w:right w:val="single" w:color="000000" w:sz="4" w:space="0"/>
            </w:tcBorders>
            <w:shd w:val="clear" w:color="auto" w:fill="FFFFFF"/>
          </w:tcPr>
          <w:p>
            <w:pPr>
              <w:spacing w:line="240" w:lineRule="exact"/>
              <w:jc w:val="left"/>
              <w:rPr>
                <w:rFonts w:hint="eastAsia" w:ascii="仿宋_GB2312" w:eastAsia="仿宋_GB2312"/>
                <w:sz w:val="16"/>
                <w:szCs w:val="16"/>
              </w:rPr>
            </w:pPr>
            <w:r>
              <w:rPr>
                <w:rFonts w:ascii="仿宋_GB2312" w:eastAsia="仿宋_GB2312"/>
                <w:sz w:val="16"/>
                <w:szCs w:val="16"/>
              </w:rPr>
              <w:t>2080506</w:t>
            </w:r>
          </w:p>
        </w:tc>
        <w:tc>
          <w:tcPr>
            <w:tcW w:w="2835" w:type="dxa"/>
            <w:tcBorders>
              <w:top w:val="nil"/>
              <w:left w:val="nil"/>
              <w:bottom w:val="single" w:color="auto" w:sz="4" w:space="0"/>
              <w:right w:val="single" w:color="auto" w:sz="4" w:space="0"/>
            </w:tcBorders>
          </w:tcPr>
          <w:p>
            <w:pPr>
              <w:spacing w:line="240" w:lineRule="exact"/>
              <w:rPr>
                <w:rFonts w:hint="eastAsia" w:ascii="仿宋_GB2312" w:eastAsia="仿宋_GB2312"/>
                <w:sz w:val="16"/>
                <w:szCs w:val="16"/>
              </w:rPr>
            </w:pPr>
            <w:r>
              <w:rPr>
                <w:rFonts w:hint="eastAsia" w:ascii="仿宋_GB2312" w:eastAsia="仿宋_GB2312"/>
                <w:sz w:val="16"/>
                <w:szCs w:val="16"/>
              </w:rPr>
              <w:t>机关事业单位职业年金缴费支出</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21.06</w:t>
            </w:r>
          </w:p>
        </w:tc>
        <w:tc>
          <w:tcPr>
            <w:tcW w:w="15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21.06</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97" w:hRule="atLeast"/>
        </w:trPr>
        <w:tc>
          <w:tcPr>
            <w:tcW w:w="1384" w:type="dxa"/>
            <w:tcBorders>
              <w:top w:val="nil"/>
              <w:left w:val="single" w:color="000000" w:sz="4" w:space="0"/>
              <w:bottom w:val="single" w:color="000000" w:sz="4" w:space="0"/>
              <w:right w:val="single" w:color="000000" w:sz="4" w:space="0"/>
            </w:tcBorders>
            <w:shd w:val="clear" w:color="auto" w:fill="FFFFFF"/>
          </w:tcPr>
          <w:p>
            <w:pPr>
              <w:spacing w:line="240" w:lineRule="exact"/>
              <w:jc w:val="left"/>
              <w:rPr>
                <w:rFonts w:hint="eastAsia" w:ascii="仿宋_GB2312" w:eastAsia="仿宋_GB2312"/>
                <w:sz w:val="16"/>
                <w:szCs w:val="16"/>
              </w:rPr>
            </w:pPr>
            <w:r>
              <w:rPr>
                <w:rFonts w:ascii="仿宋_GB2312" w:eastAsia="仿宋_GB2312"/>
                <w:sz w:val="16"/>
                <w:szCs w:val="16"/>
              </w:rPr>
              <w:t>221</w:t>
            </w:r>
          </w:p>
        </w:tc>
        <w:tc>
          <w:tcPr>
            <w:tcW w:w="2835" w:type="dxa"/>
            <w:tcBorders>
              <w:top w:val="nil"/>
              <w:left w:val="nil"/>
              <w:bottom w:val="single" w:color="auto" w:sz="4" w:space="0"/>
              <w:right w:val="single" w:color="auto" w:sz="4" w:space="0"/>
            </w:tcBorders>
          </w:tcPr>
          <w:p>
            <w:pPr>
              <w:spacing w:line="240" w:lineRule="exact"/>
              <w:rPr>
                <w:rFonts w:hint="eastAsia" w:ascii="仿宋_GB2312" w:eastAsia="仿宋_GB2312"/>
                <w:sz w:val="16"/>
                <w:szCs w:val="16"/>
              </w:rPr>
            </w:pPr>
            <w:r>
              <w:rPr>
                <w:rFonts w:hint="eastAsia" w:ascii="仿宋_GB2312" w:eastAsia="仿宋_GB2312"/>
                <w:sz w:val="16"/>
                <w:szCs w:val="16"/>
              </w:rPr>
              <w:t>住房保障支出</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5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97" w:hRule="atLeast"/>
        </w:trPr>
        <w:tc>
          <w:tcPr>
            <w:tcW w:w="1384" w:type="dxa"/>
            <w:tcBorders>
              <w:top w:val="nil"/>
              <w:left w:val="single" w:color="000000" w:sz="4" w:space="0"/>
              <w:bottom w:val="single" w:color="000000" w:sz="4" w:space="0"/>
              <w:right w:val="single" w:color="000000" w:sz="4" w:space="0"/>
            </w:tcBorders>
            <w:shd w:val="clear" w:color="auto" w:fill="FFFFFF"/>
          </w:tcPr>
          <w:p>
            <w:pPr>
              <w:spacing w:line="240" w:lineRule="exact"/>
              <w:jc w:val="left"/>
              <w:rPr>
                <w:rFonts w:hint="eastAsia" w:ascii="仿宋_GB2312" w:eastAsia="仿宋_GB2312"/>
                <w:sz w:val="16"/>
                <w:szCs w:val="16"/>
              </w:rPr>
            </w:pPr>
            <w:r>
              <w:rPr>
                <w:rFonts w:ascii="仿宋_GB2312" w:eastAsia="仿宋_GB2312"/>
                <w:sz w:val="16"/>
                <w:szCs w:val="16"/>
              </w:rPr>
              <w:t>22102</w:t>
            </w:r>
          </w:p>
        </w:tc>
        <w:tc>
          <w:tcPr>
            <w:tcW w:w="2835" w:type="dxa"/>
            <w:tcBorders>
              <w:top w:val="nil"/>
              <w:left w:val="nil"/>
              <w:bottom w:val="single" w:color="auto" w:sz="4" w:space="0"/>
              <w:right w:val="single" w:color="auto" w:sz="4" w:space="0"/>
            </w:tcBorders>
          </w:tcPr>
          <w:p>
            <w:pPr>
              <w:spacing w:line="240" w:lineRule="exact"/>
              <w:rPr>
                <w:rFonts w:hint="eastAsia" w:ascii="仿宋_GB2312" w:eastAsia="仿宋_GB2312"/>
                <w:sz w:val="16"/>
                <w:szCs w:val="16"/>
              </w:rPr>
            </w:pPr>
            <w:r>
              <w:rPr>
                <w:rFonts w:hint="eastAsia" w:ascii="仿宋_GB2312" w:eastAsia="仿宋_GB2312"/>
                <w:sz w:val="16"/>
                <w:szCs w:val="16"/>
              </w:rPr>
              <w:t>住房改革支出</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5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397" w:hRule="atLeast"/>
        </w:trPr>
        <w:tc>
          <w:tcPr>
            <w:tcW w:w="1384" w:type="dxa"/>
            <w:tcBorders>
              <w:top w:val="nil"/>
              <w:left w:val="single" w:color="000000" w:sz="4" w:space="0"/>
              <w:bottom w:val="single" w:color="000000" w:sz="4" w:space="0"/>
              <w:right w:val="single" w:color="000000" w:sz="4" w:space="0"/>
            </w:tcBorders>
            <w:shd w:val="clear" w:color="000000" w:fill="FFFFFF"/>
          </w:tcPr>
          <w:p>
            <w:pPr>
              <w:spacing w:line="240" w:lineRule="exact"/>
              <w:jc w:val="left"/>
              <w:rPr>
                <w:rFonts w:hint="eastAsia" w:ascii="仿宋_GB2312" w:eastAsia="仿宋_GB2312"/>
                <w:sz w:val="16"/>
                <w:szCs w:val="16"/>
              </w:rPr>
            </w:pPr>
            <w:r>
              <w:rPr>
                <w:rFonts w:ascii="仿宋_GB2312" w:eastAsia="仿宋_GB2312"/>
                <w:sz w:val="16"/>
                <w:szCs w:val="16"/>
              </w:rPr>
              <w:t>2210201</w:t>
            </w:r>
          </w:p>
        </w:tc>
        <w:tc>
          <w:tcPr>
            <w:tcW w:w="2835" w:type="dxa"/>
            <w:tcBorders>
              <w:top w:val="nil"/>
              <w:left w:val="nil"/>
              <w:bottom w:val="single" w:color="auto" w:sz="4" w:space="0"/>
              <w:right w:val="single" w:color="auto" w:sz="4" w:space="0"/>
            </w:tcBorders>
          </w:tcPr>
          <w:p>
            <w:pPr>
              <w:spacing w:line="240" w:lineRule="exact"/>
              <w:rPr>
                <w:rFonts w:hint="eastAsia" w:ascii="仿宋_GB2312" w:eastAsia="仿宋_GB2312"/>
                <w:sz w:val="16"/>
                <w:szCs w:val="16"/>
              </w:rPr>
            </w:pPr>
            <w:r>
              <w:rPr>
                <w:rFonts w:hint="eastAsia" w:ascii="仿宋_GB2312" w:eastAsia="仿宋_GB2312"/>
                <w:sz w:val="16"/>
                <w:szCs w:val="16"/>
              </w:rPr>
              <w:t>住房公积金</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5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559"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1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4"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bl>
    <w:p>
      <w:pPr>
        <w:wordWrap w:val="0"/>
        <w:spacing w:line="400" w:lineRule="exact"/>
        <w:ind w:right="276"/>
        <w:jc w:val="right"/>
        <w:rPr>
          <w:rFonts w:ascii="楷体_GB2312" w:eastAsia="楷体_GB2312"/>
          <w:sz w:val="28"/>
          <w:szCs w:val="28"/>
        </w:rPr>
      </w:pPr>
      <w:r>
        <w:rPr>
          <w:rFonts w:hint="eastAsia" w:ascii="楷体_GB2312" w:eastAsia="楷体_GB2312"/>
          <w:sz w:val="28"/>
          <w:szCs w:val="28"/>
        </w:rPr>
        <w:t xml:space="preserve">单位：青岛市标准化研究院                      </w:t>
      </w:r>
      <w:r>
        <w:rPr>
          <w:rFonts w:ascii="楷体_GB2312" w:eastAsia="楷体_GB2312"/>
          <w:sz w:val="28"/>
          <w:szCs w:val="28"/>
        </w:rPr>
        <w:t xml:space="preserve">                              </w:t>
      </w:r>
      <w:r>
        <w:rPr>
          <w:rFonts w:hint="eastAsia" w:ascii="楷体_GB2312" w:eastAsia="楷体_GB2312"/>
          <w:sz w:val="28"/>
          <w:szCs w:val="28"/>
        </w:rPr>
        <w:t>金额单位：万元</w:t>
      </w:r>
    </w:p>
    <w:p>
      <w:pPr>
        <w:spacing w:line="400" w:lineRule="exact"/>
        <w:ind w:firstLine="108" w:firstLineChars="50"/>
        <w:jc w:val="left"/>
        <w:rPr>
          <w:rFonts w:hint="eastAsia" w:ascii="仿宋_GB2312" w:hAnsi="宋体" w:eastAsia="仿宋_GB2312"/>
          <w:sz w:val="22"/>
          <w:szCs w:val="22"/>
        </w:rPr>
      </w:pPr>
      <w:r>
        <w:rPr>
          <w:rFonts w:hint="eastAsia" w:ascii="仿宋_GB2312" w:hAnsi="宋体" w:eastAsia="仿宋_GB2312"/>
          <w:sz w:val="22"/>
          <w:szCs w:val="22"/>
        </w:rPr>
        <w:t>注：本表反映单位本年度取得的各项收入情况。</w:t>
      </w:r>
    </w:p>
    <w:p>
      <w:pPr>
        <w:jc w:val="center"/>
        <w:rPr>
          <w:rFonts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支出决算表</w:t>
      </w:r>
    </w:p>
    <w:p>
      <w:pPr>
        <w:spacing w:line="400" w:lineRule="exact"/>
        <w:jc w:val="right"/>
        <w:rPr>
          <w:rFonts w:hint="eastAsia" w:ascii="楷体_GB2312" w:eastAsia="楷体_GB2312"/>
          <w:sz w:val="28"/>
          <w:szCs w:val="28"/>
        </w:rPr>
      </w:pPr>
      <w:r>
        <w:rPr>
          <w:rFonts w:hint="eastAsia" w:ascii="楷体_GB2312" w:eastAsia="楷体_GB2312"/>
          <w:sz w:val="28"/>
          <w:szCs w:val="28"/>
        </w:rPr>
        <w:t xml:space="preserve">                                                                                   公开03表</w:t>
      </w:r>
    </w:p>
    <w:p>
      <w:pPr>
        <w:wordWrap w:val="0"/>
        <w:spacing w:line="400" w:lineRule="exact"/>
        <w:ind w:firstLine="138" w:firstLineChars="50"/>
        <w:jc w:val="right"/>
        <w:rPr>
          <w:rFonts w:hint="eastAsia" w:ascii="楷体_GB2312" w:eastAsia="楷体_GB2312"/>
          <w:sz w:val="28"/>
          <w:szCs w:val="28"/>
        </w:rPr>
      </w:pPr>
      <w:r>
        <w:rPr>
          <w:rFonts w:hint="eastAsia" w:ascii="楷体_GB2312" w:eastAsia="楷体_GB2312"/>
          <w:sz w:val="28"/>
          <w:szCs w:val="28"/>
        </w:rPr>
        <w:t>单位：青岛市标准化研究院                                                          金额单位：万元</w:t>
      </w:r>
    </w:p>
    <w:tbl>
      <w:tblPr>
        <w:tblStyle w:val="11"/>
        <w:tblW w:w="0" w:type="auto"/>
        <w:jc w:val="center"/>
        <w:tblLayout w:type="fixed"/>
        <w:tblCellMar>
          <w:top w:w="0" w:type="dxa"/>
          <w:left w:w="108" w:type="dxa"/>
          <w:bottom w:w="0" w:type="dxa"/>
          <w:right w:w="108" w:type="dxa"/>
        </w:tblCellMar>
      </w:tblPr>
      <w:tblGrid>
        <w:gridCol w:w="1247"/>
        <w:gridCol w:w="3007"/>
        <w:gridCol w:w="1701"/>
        <w:gridCol w:w="1359"/>
        <w:gridCol w:w="1460"/>
        <w:gridCol w:w="1575"/>
        <w:gridCol w:w="1345"/>
        <w:gridCol w:w="1460"/>
      </w:tblGrid>
      <w:tr>
        <w:tblPrEx>
          <w:tblCellMar>
            <w:top w:w="0" w:type="dxa"/>
            <w:left w:w="108" w:type="dxa"/>
            <w:bottom w:w="0" w:type="dxa"/>
            <w:right w:w="108" w:type="dxa"/>
          </w:tblCellMar>
        </w:tblPrEx>
        <w:trPr>
          <w:trHeight w:val="458" w:hRule="atLeast"/>
          <w:jc w:val="center"/>
        </w:trPr>
        <w:tc>
          <w:tcPr>
            <w:tcW w:w="425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170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本年支出合计</w:t>
            </w:r>
          </w:p>
        </w:tc>
        <w:tc>
          <w:tcPr>
            <w:tcW w:w="135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146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项目支出</w:t>
            </w:r>
          </w:p>
        </w:tc>
        <w:tc>
          <w:tcPr>
            <w:tcW w:w="1575"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上缴上级支出</w:t>
            </w:r>
          </w:p>
        </w:tc>
        <w:tc>
          <w:tcPr>
            <w:tcW w:w="1345"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经营支出    </w:t>
            </w:r>
          </w:p>
        </w:tc>
        <w:tc>
          <w:tcPr>
            <w:tcW w:w="146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对附属单位</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补助支出</w:t>
            </w:r>
          </w:p>
        </w:tc>
      </w:tr>
      <w:tr>
        <w:tblPrEx>
          <w:tblCellMar>
            <w:top w:w="0" w:type="dxa"/>
            <w:left w:w="108" w:type="dxa"/>
            <w:bottom w:w="0" w:type="dxa"/>
            <w:right w:w="108" w:type="dxa"/>
          </w:tblCellMar>
        </w:tblPrEx>
        <w:trPr>
          <w:trHeight w:val="457" w:hRule="atLeast"/>
          <w:jc w:val="center"/>
        </w:trPr>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 科目编码</w:t>
            </w:r>
          </w:p>
        </w:tc>
        <w:tc>
          <w:tcPr>
            <w:tcW w:w="300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170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359"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46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575"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345"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46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425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170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3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46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5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3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146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w:t>
            </w:r>
          </w:p>
        </w:tc>
      </w:tr>
      <w:tr>
        <w:tblPrEx>
          <w:tblCellMar>
            <w:top w:w="0" w:type="dxa"/>
            <w:left w:w="108" w:type="dxa"/>
            <w:bottom w:w="0" w:type="dxa"/>
            <w:right w:w="108" w:type="dxa"/>
          </w:tblCellMar>
        </w:tblPrEx>
        <w:trPr>
          <w:trHeight w:val="406" w:hRule="atLeast"/>
          <w:jc w:val="center"/>
        </w:trPr>
        <w:tc>
          <w:tcPr>
            <w:tcW w:w="425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170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1,231.25</w:t>
            </w:r>
          </w:p>
        </w:tc>
        <w:tc>
          <w:tcPr>
            <w:tcW w:w="13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590.21</w:t>
            </w:r>
          </w:p>
        </w:tc>
        <w:tc>
          <w:tcPr>
            <w:tcW w:w="146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363.83</w:t>
            </w:r>
          </w:p>
        </w:tc>
        <w:tc>
          <w:tcPr>
            <w:tcW w:w="157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3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277.21</w:t>
            </w:r>
          </w:p>
        </w:tc>
        <w:tc>
          <w:tcPr>
            <w:tcW w:w="146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08" w:hRule="atLeast"/>
          <w:jc w:val="center"/>
        </w:trPr>
        <w:tc>
          <w:tcPr>
            <w:tcW w:w="1247" w:type="dxa"/>
            <w:tcBorders>
              <w:top w:val="single" w:color="auto" w:sz="4" w:space="0"/>
              <w:left w:val="single" w:color="auto" w:sz="4" w:space="0"/>
              <w:bottom w:val="single" w:color="auto" w:sz="4" w:space="0"/>
              <w:right w:val="nil"/>
            </w:tcBorders>
            <w:vAlign w:val="center"/>
          </w:tcPr>
          <w:p>
            <w:pPr>
              <w:spacing w:line="240" w:lineRule="exact"/>
              <w:rPr>
                <w:rFonts w:hint="eastAsia" w:ascii="仿宋_GB2312" w:eastAsia="仿宋_GB2312"/>
                <w:sz w:val="16"/>
                <w:szCs w:val="16"/>
              </w:rPr>
            </w:pPr>
            <w:r>
              <w:rPr>
                <w:rFonts w:ascii="仿宋_GB2312" w:eastAsia="仿宋_GB2312"/>
                <w:sz w:val="16"/>
                <w:szCs w:val="16"/>
              </w:rPr>
              <w:t>201</w:t>
            </w:r>
          </w:p>
        </w:tc>
        <w:tc>
          <w:tcPr>
            <w:tcW w:w="300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一般公共服务支出</w:t>
            </w:r>
          </w:p>
        </w:tc>
        <w:tc>
          <w:tcPr>
            <w:tcW w:w="1701" w:type="dxa"/>
            <w:tcBorders>
              <w:top w:val="single" w:color="auto" w:sz="4" w:space="0"/>
              <w:left w:val="nil"/>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1,136.39</w:t>
            </w:r>
          </w:p>
        </w:tc>
        <w:tc>
          <w:tcPr>
            <w:tcW w:w="1359" w:type="dxa"/>
            <w:tcBorders>
              <w:top w:val="single" w:color="auto" w:sz="4" w:space="0"/>
              <w:left w:val="single" w:color="auto" w:sz="4" w:space="0"/>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495.35</w:t>
            </w:r>
          </w:p>
        </w:tc>
        <w:tc>
          <w:tcPr>
            <w:tcW w:w="14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363.83</w:t>
            </w:r>
          </w:p>
        </w:tc>
        <w:tc>
          <w:tcPr>
            <w:tcW w:w="157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34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277.21</w:t>
            </w:r>
          </w:p>
        </w:tc>
        <w:tc>
          <w:tcPr>
            <w:tcW w:w="146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08" w:hRule="atLeast"/>
          <w:jc w:val="center"/>
        </w:trPr>
        <w:tc>
          <w:tcPr>
            <w:tcW w:w="1247" w:type="dxa"/>
            <w:tcBorders>
              <w:top w:val="nil"/>
              <w:left w:val="single" w:color="auto" w:sz="4" w:space="0"/>
              <w:bottom w:val="single" w:color="auto" w:sz="4" w:space="0"/>
              <w:right w:val="nil"/>
            </w:tcBorders>
            <w:vAlign w:val="center"/>
          </w:tcPr>
          <w:p>
            <w:pPr>
              <w:spacing w:line="240" w:lineRule="exact"/>
              <w:rPr>
                <w:rFonts w:hint="eastAsia" w:ascii="仿宋_GB2312" w:eastAsia="仿宋_GB2312"/>
                <w:sz w:val="16"/>
                <w:szCs w:val="16"/>
              </w:rPr>
            </w:pPr>
            <w:r>
              <w:rPr>
                <w:rFonts w:ascii="仿宋_GB2312" w:eastAsia="仿宋_GB2312"/>
                <w:sz w:val="16"/>
                <w:szCs w:val="16"/>
              </w:rPr>
              <w:t>20138</w:t>
            </w:r>
          </w:p>
        </w:tc>
        <w:tc>
          <w:tcPr>
            <w:tcW w:w="3007"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市场监督管理事务</w:t>
            </w:r>
          </w:p>
        </w:tc>
        <w:tc>
          <w:tcPr>
            <w:tcW w:w="1701" w:type="dxa"/>
            <w:tcBorders>
              <w:top w:val="nil"/>
              <w:left w:val="nil"/>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1,136.39</w:t>
            </w:r>
          </w:p>
        </w:tc>
        <w:tc>
          <w:tcPr>
            <w:tcW w:w="1359" w:type="dxa"/>
            <w:tcBorders>
              <w:top w:val="nil"/>
              <w:left w:val="single" w:color="auto" w:sz="4" w:space="0"/>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495.35</w:t>
            </w:r>
          </w:p>
        </w:tc>
        <w:tc>
          <w:tcPr>
            <w:tcW w:w="1460"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363.83</w:t>
            </w:r>
          </w:p>
        </w:tc>
        <w:tc>
          <w:tcPr>
            <w:tcW w:w="157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34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277.21</w:t>
            </w:r>
          </w:p>
        </w:tc>
        <w:tc>
          <w:tcPr>
            <w:tcW w:w="14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08" w:hRule="atLeast"/>
          <w:jc w:val="center"/>
        </w:trPr>
        <w:tc>
          <w:tcPr>
            <w:tcW w:w="1247" w:type="dxa"/>
            <w:tcBorders>
              <w:top w:val="nil"/>
              <w:left w:val="single" w:color="auto" w:sz="4" w:space="0"/>
              <w:bottom w:val="single" w:color="auto" w:sz="4" w:space="0"/>
              <w:right w:val="nil"/>
            </w:tcBorders>
            <w:vAlign w:val="center"/>
          </w:tcPr>
          <w:p>
            <w:pPr>
              <w:spacing w:line="240" w:lineRule="exact"/>
              <w:rPr>
                <w:rFonts w:hint="eastAsia" w:ascii="仿宋_GB2312" w:eastAsia="仿宋_GB2312"/>
                <w:sz w:val="16"/>
                <w:szCs w:val="16"/>
              </w:rPr>
            </w:pPr>
            <w:r>
              <w:rPr>
                <w:rFonts w:ascii="仿宋_GB2312" w:eastAsia="仿宋_GB2312"/>
                <w:sz w:val="16"/>
                <w:szCs w:val="16"/>
              </w:rPr>
              <w:t>2013850</w:t>
            </w:r>
          </w:p>
        </w:tc>
        <w:tc>
          <w:tcPr>
            <w:tcW w:w="3007"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事业运行</w:t>
            </w:r>
          </w:p>
        </w:tc>
        <w:tc>
          <w:tcPr>
            <w:tcW w:w="1701" w:type="dxa"/>
            <w:tcBorders>
              <w:top w:val="nil"/>
              <w:left w:val="nil"/>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1,136.39</w:t>
            </w:r>
          </w:p>
        </w:tc>
        <w:tc>
          <w:tcPr>
            <w:tcW w:w="1359" w:type="dxa"/>
            <w:tcBorders>
              <w:top w:val="nil"/>
              <w:left w:val="single" w:color="auto" w:sz="4" w:space="0"/>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495.35</w:t>
            </w:r>
          </w:p>
        </w:tc>
        <w:tc>
          <w:tcPr>
            <w:tcW w:w="1460" w:type="dxa"/>
            <w:tcBorders>
              <w:top w:val="nil"/>
              <w:left w:val="single" w:color="auto" w:sz="4" w:space="0"/>
              <w:bottom w:val="single" w:color="auto" w:sz="4" w:space="0"/>
              <w:right w:val="single" w:color="auto" w:sz="4" w:space="0"/>
            </w:tcBorders>
            <w:vAlign w:val="center"/>
          </w:tcPr>
          <w:p>
            <w:pPr>
              <w:spacing w:line="240" w:lineRule="exact"/>
              <w:ind w:right="90"/>
              <w:jc w:val="center"/>
              <w:rPr>
                <w:rFonts w:hint="eastAsia" w:ascii="仿宋_GB2312" w:eastAsia="仿宋_GB2312"/>
                <w:sz w:val="18"/>
                <w:szCs w:val="18"/>
              </w:rPr>
            </w:pPr>
            <w:r>
              <w:rPr>
                <w:rFonts w:ascii="仿宋_GB2312" w:eastAsia="仿宋_GB2312"/>
                <w:sz w:val="18"/>
                <w:szCs w:val="18"/>
              </w:rPr>
              <w:t xml:space="preserve"> 363.83</w:t>
            </w:r>
          </w:p>
        </w:tc>
        <w:tc>
          <w:tcPr>
            <w:tcW w:w="157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34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277.21</w:t>
            </w:r>
          </w:p>
        </w:tc>
        <w:tc>
          <w:tcPr>
            <w:tcW w:w="14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08" w:hRule="atLeast"/>
          <w:jc w:val="center"/>
        </w:trPr>
        <w:tc>
          <w:tcPr>
            <w:tcW w:w="1247" w:type="dxa"/>
            <w:tcBorders>
              <w:top w:val="nil"/>
              <w:left w:val="single" w:color="auto" w:sz="4" w:space="0"/>
              <w:bottom w:val="single" w:color="auto" w:sz="4" w:space="0"/>
              <w:right w:val="nil"/>
            </w:tcBorders>
            <w:vAlign w:val="center"/>
          </w:tcPr>
          <w:p>
            <w:pPr>
              <w:spacing w:line="240" w:lineRule="exact"/>
              <w:rPr>
                <w:rFonts w:hint="eastAsia" w:ascii="仿宋_GB2312" w:eastAsia="仿宋_GB2312"/>
                <w:sz w:val="16"/>
                <w:szCs w:val="16"/>
              </w:rPr>
            </w:pPr>
            <w:r>
              <w:rPr>
                <w:rFonts w:ascii="仿宋_GB2312" w:eastAsia="仿宋_GB2312"/>
                <w:sz w:val="16"/>
                <w:szCs w:val="16"/>
              </w:rPr>
              <w:t>208</w:t>
            </w:r>
          </w:p>
        </w:tc>
        <w:tc>
          <w:tcPr>
            <w:tcW w:w="3007"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社会保障和就业支出</w:t>
            </w:r>
          </w:p>
        </w:tc>
        <w:tc>
          <w:tcPr>
            <w:tcW w:w="1701" w:type="dxa"/>
            <w:tcBorders>
              <w:top w:val="nil"/>
              <w:left w:val="nil"/>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63.18</w:t>
            </w:r>
          </w:p>
        </w:tc>
        <w:tc>
          <w:tcPr>
            <w:tcW w:w="1359" w:type="dxa"/>
            <w:tcBorders>
              <w:top w:val="nil"/>
              <w:left w:val="single" w:color="auto" w:sz="4" w:space="0"/>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63.18</w:t>
            </w:r>
          </w:p>
        </w:tc>
        <w:tc>
          <w:tcPr>
            <w:tcW w:w="1460"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57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34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08" w:hRule="atLeast"/>
          <w:jc w:val="center"/>
        </w:trPr>
        <w:tc>
          <w:tcPr>
            <w:tcW w:w="1247" w:type="dxa"/>
            <w:tcBorders>
              <w:top w:val="nil"/>
              <w:left w:val="single" w:color="auto" w:sz="4" w:space="0"/>
              <w:bottom w:val="single" w:color="auto" w:sz="4" w:space="0"/>
              <w:right w:val="nil"/>
            </w:tcBorders>
            <w:vAlign w:val="center"/>
          </w:tcPr>
          <w:p>
            <w:pPr>
              <w:spacing w:line="240" w:lineRule="exact"/>
              <w:rPr>
                <w:rFonts w:hint="eastAsia" w:ascii="仿宋_GB2312" w:eastAsia="仿宋_GB2312"/>
                <w:sz w:val="16"/>
                <w:szCs w:val="16"/>
              </w:rPr>
            </w:pPr>
            <w:r>
              <w:rPr>
                <w:rFonts w:ascii="仿宋_GB2312" w:eastAsia="仿宋_GB2312"/>
                <w:sz w:val="16"/>
                <w:szCs w:val="16"/>
              </w:rPr>
              <w:t>20805</w:t>
            </w:r>
          </w:p>
        </w:tc>
        <w:tc>
          <w:tcPr>
            <w:tcW w:w="3007"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行政事业单位养老支出</w:t>
            </w:r>
          </w:p>
        </w:tc>
        <w:tc>
          <w:tcPr>
            <w:tcW w:w="1701" w:type="dxa"/>
            <w:tcBorders>
              <w:top w:val="nil"/>
              <w:left w:val="nil"/>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63.18</w:t>
            </w:r>
          </w:p>
        </w:tc>
        <w:tc>
          <w:tcPr>
            <w:tcW w:w="1359" w:type="dxa"/>
            <w:tcBorders>
              <w:top w:val="nil"/>
              <w:left w:val="single" w:color="auto" w:sz="4" w:space="0"/>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63.18</w:t>
            </w:r>
          </w:p>
        </w:tc>
        <w:tc>
          <w:tcPr>
            <w:tcW w:w="1460"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57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34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08" w:hRule="atLeast"/>
          <w:jc w:val="center"/>
        </w:trPr>
        <w:tc>
          <w:tcPr>
            <w:tcW w:w="1247" w:type="dxa"/>
            <w:tcBorders>
              <w:top w:val="nil"/>
              <w:left w:val="single" w:color="auto" w:sz="4" w:space="0"/>
              <w:bottom w:val="single" w:color="auto" w:sz="4" w:space="0"/>
              <w:right w:val="nil"/>
            </w:tcBorders>
            <w:vAlign w:val="center"/>
          </w:tcPr>
          <w:p>
            <w:pPr>
              <w:spacing w:line="240" w:lineRule="exact"/>
              <w:rPr>
                <w:rFonts w:hint="eastAsia" w:ascii="仿宋_GB2312" w:eastAsia="仿宋_GB2312"/>
                <w:sz w:val="16"/>
                <w:szCs w:val="16"/>
              </w:rPr>
            </w:pPr>
            <w:r>
              <w:rPr>
                <w:rFonts w:ascii="仿宋_GB2312" w:eastAsia="仿宋_GB2312"/>
                <w:sz w:val="16"/>
                <w:szCs w:val="16"/>
              </w:rPr>
              <w:t>2080505</w:t>
            </w:r>
          </w:p>
        </w:tc>
        <w:tc>
          <w:tcPr>
            <w:tcW w:w="3007"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机关事业单位基本养老保险缴费支出</w:t>
            </w:r>
          </w:p>
        </w:tc>
        <w:tc>
          <w:tcPr>
            <w:tcW w:w="1701" w:type="dxa"/>
            <w:tcBorders>
              <w:top w:val="nil"/>
              <w:left w:val="nil"/>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42.12</w:t>
            </w:r>
          </w:p>
        </w:tc>
        <w:tc>
          <w:tcPr>
            <w:tcW w:w="1359" w:type="dxa"/>
            <w:tcBorders>
              <w:top w:val="nil"/>
              <w:left w:val="single" w:color="auto" w:sz="4" w:space="0"/>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42.12</w:t>
            </w:r>
          </w:p>
        </w:tc>
        <w:tc>
          <w:tcPr>
            <w:tcW w:w="1460"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57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34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08" w:hRule="atLeast"/>
          <w:jc w:val="center"/>
        </w:trPr>
        <w:tc>
          <w:tcPr>
            <w:tcW w:w="1247" w:type="dxa"/>
            <w:tcBorders>
              <w:top w:val="nil"/>
              <w:left w:val="single" w:color="auto" w:sz="4" w:space="0"/>
              <w:bottom w:val="single" w:color="auto" w:sz="4" w:space="0"/>
              <w:right w:val="nil"/>
            </w:tcBorders>
            <w:vAlign w:val="center"/>
          </w:tcPr>
          <w:p>
            <w:pPr>
              <w:spacing w:line="240" w:lineRule="exact"/>
              <w:rPr>
                <w:rFonts w:hint="eastAsia" w:ascii="仿宋_GB2312" w:eastAsia="仿宋_GB2312"/>
                <w:sz w:val="16"/>
                <w:szCs w:val="16"/>
              </w:rPr>
            </w:pPr>
            <w:r>
              <w:rPr>
                <w:rFonts w:ascii="仿宋_GB2312" w:eastAsia="仿宋_GB2312"/>
                <w:sz w:val="16"/>
                <w:szCs w:val="16"/>
              </w:rPr>
              <w:t>2080506</w:t>
            </w:r>
          </w:p>
        </w:tc>
        <w:tc>
          <w:tcPr>
            <w:tcW w:w="3007"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机关事业单位职业年金缴费支出</w:t>
            </w:r>
          </w:p>
        </w:tc>
        <w:tc>
          <w:tcPr>
            <w:tcW w:w="1701" w:type="dxa"/>
            <w:tcBorders>
              <w:top w:val="nil"/>
              <w:left w:val="nil"/>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21.06</w:t>
            </w:r>
          </w:p>
        </w:tc>
        <w:tc>
          <w:tcPr>
            <w:tcW w:w="1359" w:type="dxa"/>
            <w:tcBorders>
              <w:top w:val="nil"/>
              <w:left w:val="single" w:color="auto" w:sz="4" w:space="0"/>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21.06</w:t>
            </w:r>
          </w:p>
        </w:tc>
        <w:tc>
          <w:tcPr>
            <w:tcW w:w="1460"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57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34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08" w:hRule="atLeast"/>
          <w:jc w:val="center"/>
        </w:trPr>
        <w:tc>
          <w:tcPr>
            <w:tcW w:w="1247" w:type="dxa"/>
            <w:tcBorders>
              <w:top w:val="nil"/>
              <w:left w:val="single" w:color="auto" w:sz="4" w:space="0"/>
              <w:bottom w:val="single" w:color="auto" w:sz="4" w:space="0"/>
              <w:right w:val="nil"/>
            </w:tcBorders>
            <w:vAlign w:val="center"/>
          </w:tcPr>
          <w:p>
            <w:pPr>
              <w:spacing w:line="240" w:lineRule="exact"/>
              <w:rPr>
                <w:rFonts w:hint="eastAsia" w:ascii="仿宋_GB2312" w:eastAsia="仿宋_GB2312"/>
                <w:sz w:val="16"/>
                <w:szCs w:val="16"/>
              </w:rPr>
            </w:pPr>
            <w:r>
              <w:rPr>
                <w:rFonts w:ascii="仿宋_GB2312" w:eastAsia="仿宋_GB2312"/>
                <w:sz w:val="16"/>
                <w:szCs w:val="16"/>
              </w:rPr>
              <w:t>221</w:t>
            </w:r>
          </w:p>
        </w:tc>
        <w:tc>
          <w:tcPr>
            <w:tcW w:w="3007"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住房保障支出</w:t>
            </w:r>
          </w:p>
        </w:tc>
        <w:tc>
          <w:tcPr>
            <w:tcW w:w="1701" w:type="dxa"/>
            <w:tcBorders>
              <w:top w:val="nil"/>
              <w:left w:val="nil"/>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359" w:type="dxa"/>
            <w:tcBorders>
              <w:top w:val="nil"/>
              <w:left w:val="single" w:color="auto" w:sz="4" w:space="0"/>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460"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57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34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08" w:hRule="atLeast"/>
          <w:jc w:val="center"/>
        </w:trPr>
        <w:tc>
          <w:tcPr>
            <w:tcW w:w="1247" w:type="dxa"/>
            <w:tcBorders>
              <w:top w:val="nil"/>
              <w:left w:val="single" w:color="auto" w:sz="4" w:space="0"/>
              <w:bottom w:val="single" w:color="auto" w:sz="4" w:space="0"/>
              <w:right w:val="nil"/>
            </w:tcBorders>
            <w:vAlign w:val="center"/>
          </w:tcPr>
          <w:p>
            <w:pPr>
              <w:spacing w:line="240" w:lineRule="exact"/>
              <w:rPr>
                <w:rFonts w:hint="eastAsia" w:ascii="仿宋_GB2312" w:eastAsia="仿宋_GB2312"/>
                <w:sz w:val="16"/>
                <w:szCs w:val="16"/>
              </w:rPr>
            </w:pPr>
            <w:r>
              <w:rPr>
                <w:rFonts w:ascii="仿宋_GB2312" w:eastAsia="仿宋_GB2312"/>
                <w:sz w:val="16"/>
                <w:szCs w:val="16"/>
              </w:rPr>
              <w:t>22102</w:t>
            </w:r>
          </w:p>
        </w:tc>
        <w:tc>
          <w:tcPr>
            <w:tcW w:w="3007"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住房改革支出</w:t>
            </w:r>
          </w:p>
        </w:tc>
        <w:tc>
          <w:tcPr>
            <w:tcW w:w="1701" w:type="dxa"/>
            <w:tcBorders>
              <w:top w:val="nil"/>
              <w:left w:val="nil"/>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359" w:type="dxa"/>
            <w:tcBorders>
              <w:top w:val="nil"/>
              <w:left w:val="single" w:color="auto" w:sz="4" w:space="0"/>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460"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57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34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08" w:hRule="atLeast"/>
          <w:jc w:val="center"/>
        </w:trPr>
        <w:tc>
          <w:tcPr>
            <w:tcW w:w="1247" w:type="dxa"/>
            <w:tcBorders>
              <w:top w:val="nil"/>
              <w:left w:val="single" w:color="auto" w:sz="4" w:space="0"/>
              <w:bottom w:val="single" w:color="auto" w:sz="4" w:space="0"/>
              <w:right w:val="nil"/>
            </w:tcBorders>
            <w:vAlign w:val="center"/>
          </w:tcPr>
          <w:p>
            <w:pPr>
              <w:spacing w:line="240" w:lineRule="exact"/>
              <w:rPr>
                <w:rFonts w:hint="eastAsia" w:ascii="仿宋_GB2312" w:eastAsia="仿宋_GB2312"/>
                <w:sz w:val="16"/>
                <w:szCs w:val="16"/>
              </w:rPr>
            </w:pPr>
            <w:r>
              <w:rPr>
                <w:rFonts w:ascii="仿宋_GB2312" w:eastAsia="仿宋_GB2312"/>
                <w:sz w:val="16"/>
                <w:szCs w:val="16"/>
              </w:rPr>
              <w:t>2210201</w:t>
            </w:r>
          </w:p>
        </w:tc>
        <w:tc>
          <w:tcPr>
            <w:tcW w:w="3007" w:type="dxa"/>
            <w:tcBorders>
              <w:top w:val="nil"/>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6"/>
                <w:szCs w:val="16"/>
              </w:rPr>
            </w:pPr>
            <w:r>
              <w:rPr>
                <w:rFonts w:hint="eastAsia" w:ascii="仿宋_GB2312" w:eastAsia="仿宋_GB2312"/>
                <w:sz w:val="16"/>
                <w:szCs w:val="16"/>
              </w:rPr>
              <w:t>住房公积金</w:t>
            </w:r>
          </w:p>
        </w:tc>
        <w:tc>
          <w:tcPr>
            <w:tcW w:w="1701" w:type="dxa"/>
            <w:tcBorders>
              <w:top w:val="nil"/>
              <w:left w:val="nil"/>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359" w:type="dxa"/>
            <w:tcBorders>
              <w:top w:val="nil"/>
              <w:left w:val="single" w:color="auto" w:sz="4" w:space="0"/>
              <w:bottom w:val="single" w:color="auto" w:sz="4" w:space="0"/>
              <w:right w:val="nil"/>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460" w:type="dxa"/>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57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345"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46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bl>
    <w:p>
      <w:pPr>
        <w:rPr>
          <w:rFonts w:hint="eastAsia" w:ascii="仿宋_GB2312" w:hAnsi="宋体" w:eastAsia="仿宋_GB2312"/>
          <w:sz w:val="22"/>
          <w:szCs w:val="22"/>
        </w:rPr>
      </w:pPr>
      <w:r>
        <w:rPr>
          <w:rFonts w:hint="eastAsia" w:ascii="仿宋_GB2312" w:hAnsi="宋体" w:eastAsia="仿宋_GB2312"/>
          <w:sz w:val="22"/>
          <w:szCs w:val="22"/>
        </w:rPr>
        <w:t>注：本表反映单位本年度各项支出情况。</w:t>
      </w:r>
    </w:p>
    <w:p>
      <w:pPr>
        <w:rPr>
          <w:rFonts w:ascii="仿宋_GB2312" w:hAnsi="宋体" w:eastAsia="仿宋_GB2312"/>
          <w:sz w:val="22"/>
          <w:szCs w:val="22"/>
        </w:rPr>
        <w:sectPr>
          <w:pgSz w:w="16838" w:h="11906" w:orient="landscape"/>
          <w:pgMar w:top="0" w:right="1701" w:bottom="0" w:left="1701" w:header="0" w:footer="1418" w:gutter="0"/>
          <w:cols w:space="720" w:num="1"/>
          <w:docGrid w:type="linesAndChars" w:linePitch="610" w:charSpace="-849"/>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财政拨款收入支出决算总表</w:t>
      </w:r>
    </w:p>
    <w:p>
      <w:pPr>
        <w:spacing w:line="400" w:lineRule="exact"/>
        <w:jc w:val="right"/>
        <w:rPr>
          <w:rFonts w:hint="eastAsia" w:ascii="楷体_GB2312" w:eastAsia="楷体_GB2312"/>
          <w:sz w:val="28"/>
          <w:szCs w:val="28"/>
        </w:rPr>
      </w:pP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公开04表 </w:t>
      </w:r>
    </w:p>
    <w:p>
      <w:pPr>
        <w:spacing w:line="400" w:lineRule="exact"/>
        <w:jc w:val="right"/>
        <w:rPr>
          <w:rFonts w:hint="eastAsia" w:ascii="楷体_GB2312" w:eastAsia="楷体_GB2312"/>
          <w:sz w:val="28"/>
          <w:szCs w:val="28"/>
        </w:rPr>
      </w:pPr>
      <w:r>
        <w:rPr>
          <w:rFonts w:hint="eastAsia" w:ascii="楷体_GB2312" w:eastAsia="楷体_GB2312"/>
          <w:sz w:val="28"/>
          <w:szCs w:val="28"/>
        </w:rPr>
        <w:t>单位：青岛市标准化研究院                                                           金额单位：万元</w:t>
      </w:r>
    </w:p>
    <w:tbl>
      <w:tblPr>
        <w:tblStyle w:val="11"/>
        <w:tblW w:w="150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22"/>
        <w:gridCol w:w="540"/>
        <w:gridCol w:w="1512"/>
        <w:gridCol w:w="3100"/>
        <w:gridCol w:w="567"/>
        <w:gridCol w:w="1200"/>
        <w:gridCol w:w="1700"/>
        <w:gridCol w:w="1700"/>
        <w:gridCol w:w="1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5074" w:type="dxa"/>
            <w:gridSpan w:val="3"/>
            <w:tcBorders>
              <w:top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bookmarkStart w:id="0" w:name="_Hlk83119622"/>
            <w:r>
              <w:rPr>
                <w:rFonts w:hint="eastAsia" w:ascii="仿宋_GB2312" w:hAnsi="宋体" w:eastAsia="仿宋_GB2312" w:cs="宋体"/>
                <w:kern w:val="0"/>
                <w:sz w:val="20"/>
                <w:szCs w:val="20"/>
              </w:rPr>
              <w:t>收 入</w:t>
            </w:r>
            <w:bookmarkStart w:id="1" w:name="_Hlk83119497"/>
          </w:p>
        </w:tc>
        <w:tc>
          <w:tcPr>
            <w:tcW w:w="9967" w:type="dxa"/>
            <w:gridSpan w:val="6"/>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 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   目</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行次</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金额</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    目</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行次</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合计</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一般公共预算</w:t>
            </w:r>
          </w:p>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财政拨款</w:t>
            </w: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政府性基金</w:t>
            </w:r>
          </w:p>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预算财政拨款</w:t>
            </w:r>
          </w:p>
        </w:tc>
        <w:tc>
          <w:tcPr>
            <w:tcW w:w="1700" w:type="dxa"/>
            <w:tcBorders>
              <w:top w:val="single" w:color="auto" w:sz="4" w:space="0"/>
              <w:left w:val="single" w:color="auto" w:sz="4" w:space="0"/>
              <w:bottom w:val="single" w:color="auto" w:sz="4" w:space="0"/>
            </w:tcBorders>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国有资本经营预算财政拨款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ind w:firstLine="1176" w:firstLineChars="600"/>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700" w:type="dxa"/>
            <w:tcBorders>
              <w:top w:val="single" w:color="auto" w:sz="4" w:space="0"/>
              <w:left w:val="single" w:color="auto" w:sz="4" w:space="0"/>
              <w:bottom w:val="single" w:color="auto" w:sz="4" w:space="0"/>
            </w:tcBorders>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r>
      <w:bookmarkEnd w:id="1"/>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一、一般公共预算财政拨款</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w:t>
            </w:r>
            <w:r>
              <w:rPr>
                <w:rFonts w:ascii="仿宋_GB2312" w:hAnsi="宋体" w:eastAsia="仿宋_GB2312" w:cs="宋体"/>
                <w:kern w:val="0"/>
                <w:sz w:val="18"/>
                <w:szCs w:val="18"/>
              </w:rPr>
              <w:t>48.21</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一、一般公共服务支出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33</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653.35</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653.35</w:t>
            </w: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二、政府性基金预算财政拨款</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二、外交支出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34</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三、国有资本经营预算财政拨款</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三、国防支出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35</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四、公共安全支出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36</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五、教育支出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37</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六、科学技术支出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38</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七、文化旅游体育与传媒支出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r>
              <w:rPr>
                <w:rFonts w:ascii="仿宋_GB2312" w:hAnsi="宋体" w:eastAsia="仿宋_GB2312" w:cs="宋体"/>
                <w:kern w:val="0"/>
                <w:sz w:val="20"/>
                <w:szCs w:val="20"/>
              </w:rPr>
              <w:t>9</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八、社会保障和就业支出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40</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63.18</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63.18</w:t>
            </w: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bCs/>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九、卫生健康支出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r>
              <w:rPr>
                <w:rFonts w:ascii="仿宋_GB2312" w:hAnsi="宋体" w:eastAsia="仿宋_GB2312" w:cs="宋体"/>
                <w:kern w:val="0"/>
                <w:sz w:val="20"/>
                <w:szCs w:val="20"/>
              </w:rPr>
              <w:t>1</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r>
              <w:rPr>
                <w:rFonts w:ascii="仿宋_GB2312" w:hAnsi="宋体" w:eastAsia="仿宋_GB2312" w:cs="宋体"/>
                <w:kern w:val="0"/>
                <w:sz w:val="20"/>
                <w:szCs w:val="20"/>
              </w:rPr>
              <w:t>0</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十、节能环保支出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r>
              <w:rPr>
                <w:rFonts w:ascii="仿宋_GB2312" w:hAnsi="宋体" w:eastAsia="仿宋_GB2312" w:cs="宋体"/>
                <w:kern w:val="0"/>
                <w:sz w:val="20"/>
                <w:szCs w:val="20"/>
              </w:rPr>
              <w:t>2</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r>
              <w:rPr>
                <w:rFonts w:ascii="仿宋_GB2312" w:hAnsi="宋体" w:eastAsia="仿宋_GB2312" w:cs="宋体"/>
                <w:kern w:val="0"/>
                <w:sz w:val="20"/>
                <w:szCs w:val="20"/>
              </w:rPr>
              <w:t>1</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十一、城乡社区支出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r>
              <w:rPr>
                <w:rFonts w:ascii="仿宋_GB2312" w:hAnsi="宋体" w:eastAsia="仿宋_GB2312" w:cs="宋体"/>
                <w:kern w:val="0"/>
                <w:sz w:val="20"/>
                <w:szCs w:val="20"/>
              </w:rPr>
              <w:t>3</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r>
              <w:rPr>
                <w:rFonts w:ascii="仿宋_GB2312" w:hAnsi="宋体" w:eastAsia="仿宋_GB2312" w:cs="宋体"/>
                <w:kern w:val="0"/>
                <w:sz w:val="20"/>
                <w:szCs w:val="20"/>
              </w:rPr>
              <w:t>2</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十二、农林水支出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r>
              <w:rPr>
                <w:rFonts w:ascii="仿宋_GB2312" w:hAnsi="宋体" w:eastAsia="仿宋_GB2312" w:cs="宋体"/>
                <w:kern w:val="0"/>
                <w:sz w:val="20"/>
                <w:szCs w:val="20"/>
              </w:rPr>
              <w:t>4</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r>
              <w:rPr>
                <w:rFonts w:ascii="仿宋_GB2312" w:hAnsi="宋体" w:eastAsia="仿宋_GB2312" w:cs="宋体"/>
                <w:kern w:val="0"/>
                <w:sz w:val="20"/>
                <w:szCs w:val="20"/>
              </w:rPr>
              <w:t>3</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十三、交通运输支出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r>
              <w:rPr>
                <w:rFonts w:ascii="仿宋_GB2312" w:hAnsi="宋体" w:eastAsia="仿宋_GB2312" w:cs="宋体"/>
                <w:kern w:val="0"/>
                <w:sz w:val="20"/>
                <w:szCs w:val="20"/>
              </w:rPr>
              <w:t>5</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bCs/>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r>
              <w:rPr>
                <w:rFonts w:ascii="仿宋_GB2312" w:hAnsi="宋体" w:eastAsia="仿宋_GB2312" w:cs="宋体"/>
                <w:kern w:val="0"/>
                <w:sz w:val="20"/>
                <w:szCs w:val="20"/>
              </w:rPr>
              <w:t>4</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十四、资源勘探工业信息等支出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r>
              <w:rPr>
                <w:rFonts w:ascii="仿宋_GB2312" w:hAnsi="宋体" w:eastAsia="仿宋_GB2312" w:cs="宋体"/>
                <w:kern w:val="0"/>
                <w:sz w:val="20"/>
                <w:szCs w:val="20"/>
              </w:rPr>
              <w:t>6</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b/>
                <w:bCs/>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bCs/>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r>
              <w:rPr>
                <w:rFonts w:ascii="仿宋_GB2312" w:hAnsi="宋体" w:eastAsia="仿宋_GB2312" w:cs="宋体"/>
                <w:kern w:val="0"/>
                <w:sz w:val="20"/>
                <w:szCs w:val="20"/>
              </w:rPr>
              <w:t>5</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十五、商业服务业等支出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r>
              <w:rPr>
                <w:rFonts w:ascii="仿宋_GB2312" w:hAnsi="宋体" w:eastAsia="仿宋_GB2312" w:cs="宋体"/>
                <w:kern w:val="0"/>
                <w:sz w:val="20"/>
                <w:szCs w:val="20"/>
              </w:rPr>
              <w:t>7</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b/>
                <w:bCs/>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b/>
                <w:bCs/>
                <w:kern w:val="0"/>
                <w:sz w:val="20"/>
                <w:szCs w:val="20"/>
              </w:rPr>
            </w:pPr>
          </w:p>
        </w:tc>
      </w:tr>
      <w:bookmarkEnd w:id="0"/>
    </w:tbl>
    <w:p>
      <w:pPr>
        <w:ind w:firstLine="108" w:firstLineChars="50"/>
        <w:rPr>
          <w:rFonts w:hint="eastAsia" w:ascii="仿宋_GB2312" w:hAnsi="宋体" w:eastAsia="仿宋_GB2312"/>
          <w:sz w:val="22"/>
          <w:szCs w:val="22"/>
        </w:rPr>
        <w:sectPr>
          <w:pgSz w:w="16838" w:h="11906" w:orient="landscape"/>
          <w:pgMar w:top="0" w:right="1701" w:bottom="0" w:left="1701" w:header="0" w:footer="1418" w:gutter="0"/>
          <w:cols w:space="720" w:num="1"/>
          <w:docGrid w:type="linesAndChars" w:linePitch="610" w:charSpace="-849"/>
        </w:sectPr>
      </w:pPr>
    </w:p>
    <w:tbl>
      <w:tblPr>
        <w:tblStyle w:val="11"/>
        <w:tblW w:w="150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22"/>
        <w:gridCol w:w="540"/>
        <w:gridCol w:w="1512"/>
        <w:gridCol w:w="3100"/>
        <w:gridCol w:w="567"/>
        <w:gridCol w:w="1200"/>
        <w:gridCol w:w="1700"/>
        <w:gridCol w:w="1700"/>
        <w:gridCol w:w="1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5074" w:type="dxa"/>
            <w:gridSpan w:val="3"/>
            <w:tcBorders>
              <w:top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收 入</w:t>
            </w:r>
          </w:p>
        </w:tc>
        <w:tc>
          <w:tcPr>
            <w:tcW w:w="9967" w:type="dxa"/>
            <w:gridSpan w:val="6"/>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 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   目</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行次</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金额</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    目</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行次</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合计</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一般公共预算</w:t>
            </w:r>
          </w:p>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财政拨款</w:t>
            </w: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政府性基金</w:t>
            </w:r>
          </w:p>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预算财政拨款</w:t>
            </w:r>
          </w:p>
        </w:tc>
        <w:tc>
          <w:tcPr>
            <w:tcW w:w="1700" w:type="dxa"/>
            <w:tcBorders>
              <w:top w:val="single" w:color="auto" w:sz="4" w:space="0"/>
              <w:left w:val="single" w:color="auto" w:sz="4" w:space="0"/>
              <w:bottom w:val="single" w:color="auto" w:sz="4" w:space="0"/>
            </w:tcBorders>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国有资本经营预算财政拨款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ind w:firstLine="1176" w:firstLineChars="600"/>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700" w:type="dxa"/>
            <w:tcBorders>
              <w:top w:val="single" w:color="auto" w:sz="4" w:space="0"/>
              <w:left w:val="single" w:color="auto" w:sz="4" w:space="0"/>
              <w:bottom w:val="single" w:color="auto" w:sz="4" w:space="0"/>
            </w:tcBorders>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r>
              <w:rPr>
                <w:rFonts w:ascii="仿宋_GB2312" w:hAnsi="宋体" w:eastAsia="仿宋_GB2312" w:cs="宋体"/>
                <w:kern w:val="0"/>
                <w:sz w:val="20"/>
                <w:szCs w:val="20"/>
              </w:rPr>
              <w:t>6</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十六、金融支出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r>
              <w:rPr>
                <w:rFonts w:ascii="仿宋_GB2312" w:hAnsi="宋体" w:eastAsia="仿宋_GB2312" w:cs="宋体"/>
                <w:kern w:val="0"/>
                <w:sz w:val="20"/>
                <w:szCs w:val="20"/>
              </w:rPr>
              <w:t>8</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r>
              <w:rPr>
                <w:rFonts w:ascii="仿宋_GB2312" w:hAnsi="宋体" w:eastAsia="仿宋_GB2312" w:cs="宋体"/>
                <w:kern w:val="0"/>
                <w:sz w:val="20"/>
                <w:szCs w:val="20"/>
              </w:rPr>
              <w:t>7</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十七、援助其他地区支出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r>
              <w:rPr>
                <w:rFonts w:ascii="仿宋_GB2312" w:hAnsi="宋体" w:eastAsia="仿宋_GB2312" w:cs="宋体"/>
                <w:kern w:val="0"/>
                <w:sz w:val="20"/>
                <w:szCs w:val="20"/>
              </w:rPr>
              <w:t>9</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r>
              <w:rPr>
                <w:rFonts w:ascii="仿宋_GB2312" w:hAnsi="宋体" w:eastAsia="仿宋_GB2312" w:cs="宋体"/>
                <w:kern w:val="0"/>
                <w:sz w:val="20"/>
                <w:szCs w:val="20"/>
              </w:rPr>
              <w:t>8</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十八、自然资源海洋气象等支出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r>
              <w:rPr>
                <w:rFonts w:ascii="仿宋_GB2312" w:hAnsi="宋体" w:eastAsia="仿宋_GB2312" w:cs="宋体"/>
                <w:kern w:val="0"/>
                <w:sz w:val="20"/>
                <w:szCs w:val="20"/>
              </w:rPr>
              <w:t>0</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c>
          <w:tcPr>
            <w:tcW w:w="1700" w:type="dxa"/>
            <w:tcBorders>
              <w:top w:val="single" w:color="auto" w:sz="4" w:space="0"/>
              <w:left w:val="single" w:color="auto" w:sz="4" w:space="0"/>
              <w:bottom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r>
              <w:rPr>
                <w:rFonts w:ascii="仿宋_GB2312" w:hAnsi="宋体" w:eastAsia="仿宋_GB2312" w:cs="宋体"/>
                <w:kern w:val="0"/>
                <w:sz w:val="20"/>
                <w:szCs w:val="20"/>
              </w:rPr>
              <w:t>9</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十九、住房保障支出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r>
              <w:rPr>
                <w:rFonts w:ascii="仿宋_GB2312" w:hAnsi="宋体" w:eastAsia="仿宋_GB2312" w:cs="宋体"/>
                <w:kern w:val="0"/>
                <w:sz w:val="20"/>
                <w:szCs w:val="20"/>
              </w:rPr>
              <w:t>1</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r>
              <w:rPr>
                <w:rFonts w:ascii="仿宋_GB2312" w:hAnsi="宋体" w:eastAsia="仿宋_GB2312" w:cs="宋体"/>
                <w:kern w:val="0"/>
                <w:sz w:val="20"/>
                <w:szCs w:val="20"/>
              </w:rPr>
              <w:t>0</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二十、粮油物资储备支出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52</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r>
              <w:rPr>
                <w:rFonts w:ascii="仿宋_GB2312" w:hAnsi="宋体" w:eastAsia="仿宋_GB2312" w:cs="宋体"/>
                <w:kern w:val="0"/>
                <w:sz w:val="20"/>
                <w:szCs w:val="20"/>
              </w:rPr>
              <w:t>1</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二十一、国有资本经营预算支出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r>
              <w:rPr>
                <w:rFonts w:ascii="仿宋_GB2312" w:hAnsi="宋体" w:eastAsia="仿宋_GB2312" w:cs="宋体"/>
                <w:kern w:val="0"/>
                <w:sz w:val="20"/>
                <w:szCs w:val="20"/>
              </w:rPr>
              <w:t>3</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r>
              <w:rPr>
                <w:rFonts w:ascii="仿宋_GB2312" w:hAnsi="宋体" w:eastAsia="仿宋_GB2312" w:cs="宋体"/>
                <w:kern w:val="0"/>
                <w:sz w:val="20"/>
                <w:szCs w:val="20"/>
              </w:rPr>
              <w:t>2</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二十二、灾害防治及应急管理支出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r>
              <w:rPr>
                <w:rFonts w:ascii="仿宋_GB2312" w:hAnsi="宋体" w:eastAsia="仿宋_GB2312" w:cs="宋体"/>
                <w:kern w:val="0"/>
                <w:sz w:val="20"/>
                <w:szCs w:val="20"/>
              </w:rPr>
              <w:t>4</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r>
              <w:rPr>
                <w:rFonts w:ascii="仿宋_GB2312" w:hAnsi="宋体" w:eastAsia="仿宋_GB2312" w:cs="宋体"/>
                <w:kern w:val="0"/>
                <w:sz w:val="20"/>
                <w:szCs w:val="20"/>
              </w:rPr>
              <w:t>3</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二十三、其他支出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r>
              <w:rPr>
                <w:rFonts w:ascii="仿宋_GB2312" w:hAnsi="宋体" w:eastAsia="仿宋_GB2312" w:cs="宋体"/>
                <w:kern w:val="0"/>
                <w:sz w:val="20"/>
                <w:szCs w:val="20"/>
              </w:rPr>
              <w:t>5</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r>
              <w:rPr>
                <w:rFonts w:ascii="仿宋_GB2312" w:hAnsi="宋体" w:eastAsia="仿宋_GB2312" w:cs="宋体"/>
                <w:kern w:val="0"/>
                <w:sz w:val="20"/>
                <w:szCs w:val="20"/>
              </w:rPr>
              <w:t>4</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二十四、债务还本支出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r>
              <w:rPr>
                <w:rFonts w:ascii="仿宋_GB2312" w:hAnsi="宋体" w:eastAsia="仿宋_GB2312" w:cs="宋体"/>
                <w:kern w:val="0"/>
                <w:sz w:val="20"/>
                <w:szCs w:val="20"/>
              </w:rPr>
              <w:t>6</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r>
              <w:rPr>
                <w:rFonts w:ascii="仿宋_GB2312" w:hAnsi="宋体" w:eastAsia="仿宋_GB2312" w:cs="宋体"/>
                <w:kern w:val="0"/>
                <w:sz w:val="20"/>
                <w:szCs w:val="20"/>
              </w:rPr>
              <w:t>5</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二十五、债务付息支出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r>
              <w:rPr>
                <w:rFonts w:ascii="仿宋_GB2312" w:hAnsi="宋体" w:eastAsia="仿宋_GB2312" w:cs="宋体"/>
                <w:kern w:val="0"/>
                <w:sz w:val="20"/>
                <w:szCs w:val="20"/>
              </w:rPr>
              <w:t>7</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r>
              <w:rPr>
                <w:rFonts w:ascii="仿宋_GB2312" w:hAnsi="宋体" w:eastAsia="仿宋_GB2312" w:cs="宋体"/>
                <w:kern w:val="0"/>
                <w:sz w:val="20"/>
                <w:szCs w:val="20"/>
              </w:rPr>
              <w:t>6</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二十六、抗疫特别国债安排的支出</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r>
              <w:rPr>
                <w:rFonts w:ascii="仿宋_GB2312" w:hAnsi="宋体" w:eastAsia="仿宋_GB2312" w:cs="宋体"/>
                <w:kern w:val="0"/>
                <w:sz w:val="20"/>
                <w:szCs w:val="20"/>
              </w:rPr>
              <w:t>8</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Cs/>
                <w:kern w:val="0"/>
                <w:sz w:val="20"/>
                <w:szCs w:val="20"/>
              </w:rPr>
            </w:pPr>
            <w:r>
              <w:rPr>
                <w:rFonts w:hint="eastAsia" w:ascii="仿宋_GB2312" w:hAnsi="宋体" w:eastAsia="仿宋_GB2312" w:cs="宋体"/>
                <w:b/>
                <w:kern w:val="0"/>
                <w:sz w:val="20"/>
                <w:szCs w:val="20"/>
              </w:rPr>
              <w:t>本年收入合计</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27</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w:t>
            </w:r>
            <w:r>
              <w:rPr>
                <w:rFonts w:ascii="仿宋_GB2312" w:hAnsi="宋体" w:eastAsia="仿宋_GB2312" w:cs="宋体"/>
                <w:kern w:val="0"/>
                <w:sz w:val="18"/>
                <w:szCs w:val="18"/>
              </w:rPr>
              <w:t>48.21</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Cs/>
                <w:kern w:val="0"/>
                <w:sz w:val="20"/>
                <w:szCs w:val="20"/>
              </w:rPr>
            </w:pPr>
            <w:r>
              <w:rPr>
                <w:rFonts w:hint="eastAsia" w:ascii="仿宋_GB2312" w:hAnsi="宋体" w:eastAsia="仿宋_GB2312" w:cs="宋体"/>
                <w:b/>
                <w:kern w:val="0"/>
                <w:sz w:val="20"/>
                <w:szCs w:val="20"/>
              </w:rPr>
              <w:t>本年支出合计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59</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748.21</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748.21</w:t>
            </w: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年初财政拨款结转和结余</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28</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年末财政拨款结转和结余</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60</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ind w:firstLine="392" w:firstLineChars="200"/>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一般公共预算财政拨款</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29</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61</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政府性基金预算财政拨款</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30</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62</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国有资本经营预算财政拨款</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31</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63</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3022" w:type="dxa"/>
            <w:tcBorders>
              <w:top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Cs/>
                <w:kern w:val="0"/>
                <w:sz w:val="20"/>
                <w:szCs w:val="20"/>
              </w:rPr>
            </w:pPr>
            <w:r>
              <w:rPr>
                <w:rFonts w:hint="eastAsia" w:ascii="仿宋_GB2312" w:hAnsi="宋体" w:eastAsia="仿宋_GB2312" w:cs="宋体"/>
                <w:b/>
                <w:kern w:val="0"/>
                <w:sz w:val="20"/>
                <w:szCs w:val="20"/>
              </w:rPr>
              <w:t>总计</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32</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w:t>
            </w:r>
            <w:r>
              <w:rPr>
                <w:rFonts w:ascii="仿宋_GB2312" w:hAnsi="宋体" w:eastAsia="仿宋_GB2312" w:cs="宋体"/>
                <w:kern w:val="0"/>
                <w:sz w:val="18"/>
                <w:szCs w:val="18"/>
              </w:rPr>
              <w:t>48.21</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Cs/>
                <w:kern w:val="0"/>
                <w:sz w:val="20"/>
                <w:szCs w:val="20"/>
              </w:rPr>
            </w:pPr>
            <w:r>
              <w:rPr>
                <w:rFonts w:hint="eastAsia" w:ascii="仿宋_GB2312" w:hAnsi="宋体" w:eastAsia="仿宋_GB2312" w:cs="宋体"/>
                <w:b/>
                <w:kern w:val="0"/>
                <w:sz w:val="20"/>
                <w:szCs w:val="20"/>
              </w:rPr>
              <w:t>总计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0"/>
                <w:szCs w:val="20"/>
              </w:rPr>
            </w:pPr>
            <w:r>
              <w:rPr>
                <w:rFonts w:ascii="仿宋_GB2312" w:hAnsi="宋体" w:eastAsia="仿宋_GB2312" w:cs="宋体"/>
                <w:kern w:val="0"/>
                <w:sz w:val="20"/>
                <w:szCs w:val="20"/>
              </w:rPr>
              <w:t>64</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748.21</w:t>
            </w:r>
          </w:p>
        </w:tc>
        <w:tc>
          <w:tcPr>
            <w:tcW w:w="17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748.21</w:t>
            </w: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c>
          <w:tcPr>
            <w:tcW w:w="1700"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eastAsia="仿宋_GB2312"/>
                <w:sz w:val="18"/>
                <w:szCs w:val="18"/>
              </w:rPr>
            </w:pPr>
          </w:p>
        </w:tc>
      </w:tr>
    </w:tbl>
    <w:p>
      <w:pPr>
        <w:rPr>
          <w:rFonts w:hint="eastAsia" w:ascii="仿宋_GB2312" w:hAnsi="宋体" w:eastAsia="仿宋_GB2312"/>
          <w:sz w:val="22"/>
          <w:szCs w:val="22"/>
        </w:rPr>
      </w:pPr>
      <w:r>
        <w:rPr>
          <w:rFonts w:hint="eastAsia" w:ascii="仿宋_GB2312" w:hAnsi="宋体" w:eastAsia="仿宋_GB2312"/>
          <w:sz w:val="22"/>
          <w:szCs w:val="22"/>
        </w:rPr>
        <w:t>注：本表反映单位本年度一般公共预算财政拨款、政府性基金预算财政拨款和国有资本经营预算财政拨款的总收支和年末结转结余情况。</w:t>
      </w:r>
    </w:p>
    <w:p>
      <w:pPr>
        <w:jc w:val="center"/>
        <w:rPr>
          <w:rFonts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一般公共预算财政拨款支出决算表</w:t>
      </w:r>
    </w:p>
    <w:p>
      <w:pPr>
        <w:spacing w:line="400" w:lineRule="exact"/>
        <w:jc w:val="right"/>
        <w:rPr>
          <w:rFonts w:hint="eastAsia" w:ascii="楷体_GB2312" w:eastAsia="楷体_GB2312"/>
          <w:sz w:val="28"/>
          <w:szCs w:val="28"/>
        </w:rPr>
      </w:pPr>
      <w:r>
        <w:rPr>
          <w:rFonts w:hint="eastAsia" w:ascii="楷体_GB2312" w:eastAsia="楷体_GB2312"/>
          <w:sz w:val="28"/>
          <w:szCs w:val="28"/>
        </w:rPr>
        <w:t>公开05表</w:t>
      </w:r>
    </w:p>
    <w:p>
      <w:pPr>
        <w:wordWrap w:val="0"/>
        <w:spacing w:line="400" w:lineRule="exact"/>
        <w:ind w:firstLine="138" w:firstLineChars="50"/>
        <w:jc w:val="right"/>
        <w:rPr>
          <w:rFonts w:hint="eastAsia" w:ascii="楷体_GB2312" w:eastAsia="楷体_GB2312"/>
          <w:sz w:val="28"/>
          <w:szCs w:val="28"/>
        </w:rPr>
      </w:pPr>
      <w:r>
        <w:rPr>
          <w:rFonts w:hint="eastAsia" w:ascii="楷体_GB2312" w:eastAsia="楷体_GB2312"/>
          <w:sz w:val="28"/>
          <w:szCs w:val="28"/>
        </w:rPr>
        <w:t>单位：青岛市标准化研究院                                                          金额单位：万元</w:t>
      </w:r>
    </w:p>
    <w:tbl>
      <w:tblPr>
        <w:tblStyle w:val="11"/>
        <w:tblW w:w="0" w:type="auto"/>
        <w:jc w:val="center"/>
        <w:tblLayout w:type="fixed"/>
        <w:tblCellMar>
          <w:top w:w="0" w:type="dxa"/>
          <w:left w:w="108" w:type="dxa"/>
          <w:bottom w:w="0" w:type="dxa"/>
          <w:right w:w="108" w:type="dxa"/>
        </w:tblCellMar>
      </w:tblPr>
      <w:tblGrid>
        <w:gridCol w:w="1276"/>
        <w:gridCol w:w="3595"/>
        <w:gridCol w:w="2783"/>
        <w:gridCol w:w="2978"/>
        <w:gridCol w:w="2520"/>
      </w:tblGrid>
      <w:tr>
        <w:tblPrEx>
          <w:tblCellMar>
            <w:top w:w="0" w:type="dxa"/>
            <w:left w:w="108" w:type="dxa"/>
            <w:bottom w:w="0" w:type="dxa"/>
            <w:right w:w="108" w:type="dxa"/>
          </w:tblCellMar>
        </w:tblPrEx>
        <w:trPr>
          <w:trHeight w:val="428" w:hRule="atLeas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828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本年支出</w:t>
            </w:r>
          </w:p>
        </w:tc>
      </w:tr>
      <w:tr>
        <w:tblPrEx>
          <w:tblCellMar>
            <w:top w:w="0" w:type="dxa"/>
            <w:left w:w="108" w:type="dxa"/>
            <w:bottom w:w="0" w:type="dxa"/>
            <w:right w:w="108" w:type="dxa"/>
          </w:tblCellMar>
        </w:tblPrEx>
        <w:trPr>
          <w:trHeight w:val="67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功能分类</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科目编码</w:t>
            </w:r>
          </w:p>
        </w:tc>
        <w:tc>
          <w:tcPr>
            <w:tcW w:w="35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27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项目支出</w:t>
            </w:r>
          </w:p>
        </w:tc>
      </w:tr>
      <w:tr>
        <w:tblPrEx>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r>
      <w:tr>
        <w:tblPrEx>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748.21</w:t>
            </w:r>
          </w:p>
        </w:tc>
        <w:tc>
          <w:tcPr>
            <w:tcW w:w="2978"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590.21</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hint="default" w:ascii="仿宋_GB2312" w:hAnsi="宋体" w:eastAsia="仿宋_GB2312" w:cs="宋体"/>
                <w:kern w:val="0"/>
                <w:sz w:val="22"/>
                <w:szCs w:val="22"/>
                <w:lang w:val="en-US" w:eastAsia="zh-CN"/>
              </w:rPr>
            </w:pPr>
            <w:r>
              <w:rPr>
                <w:rFonts w:ascii="仿宋_GB2312" w:eastAsia="仿宋_GB2312"/>
                <w:sz w:val="18"/>
                <w:szCs w:val="18"/>
              </w:rPr>
              <w:t>158.00</w:t>
            </w:r>
          </w:p>
        </w:tc>
      </w:tr>
      <w:tr>
        <w:tblPrEx>
          <w:tblCellMar>
            <w:top w:w="0" w:type="dxa"/>
            <w:left w:w="108" w:type="dxa"/>
            <w:bottom w:w="0" w:type="dxa"/>
            <w:right w:w="108" w:type="dxa"/>
          </w:tblCellMar>
        </w:tblPrEx>
        <w:trPr>
          <w:trHeight w:val="432" w:hRule="exact"/>
          <w:jc w:val="center"/>
        </w:trPr>
        <w:tc>
          <w:tcPr>
            <w:tcW w:w="1276" w:type="dxa"/>
            <w:tcBorders>
              <w:top w:val="nil"/>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ascii="仿宋_GB2312" w:hAnsi="宋体" w:eastAsia="仿宋_GB2312" w:cs="宋体"/>
                <w:kern w:val="0"/>
                <w:sz w:val="20"/>
                <w:szCs w:val="20"/>
              </w:rPr>
              <w:t>201</w:t>
            </w:r>
          </w:p>
        </w:tc>
        <w:tc>
          <w:tcPr>
            <w:tcW w:w="3595" w:type="dxa"/>
            <w:tcBorders>
              <w:top w:val="nil"/>
              <w:left w:val="nil"/>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一般公共服务支出</w:t>
            </w:r>
          </w:p>
        </w:tc>
        <w:tc>
          <w:tcPr>
            <w:tcW w:w="2783"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653.35</w:t>
            </w:r>
          </w:p>
        </w:tc>
        <w:tc>
          <w:tcPr>
            <w:tcW w:w="2978"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lang w:val="en-US" w:eastAsia="zh-CN"/>
              </w:rPr>
              <w:t>495.35</w:t>
            </w:r>
          </w:p>
        </w:tc>
        <w:tc>
          <w:tcPr>
            <w:tcW w:w="252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158.00</w:t>
            </w:r>
          </w:p>
        </w:tc>
      </w:tr>
      <w:tr>
        <w:tblPrEx>
          <w:tblCellMar>
            <w:top w:w="0" w:type="dxa"/>
            <w:left w:w="108" w:type="dxa"/>
            <w:bottom w:w="0" w:type="dxa"/>
            <w:right w:w="108" w:type="dxa"/>
          </w:tblCellMar>
        </w:tblPrEx>
        <w:trPr>
          <w:trHeight w:val="396" w:hRule="exact"/>
          <w:jc w:val="center"/>
        </w:trPr>
        <w:tc>
          <w:tcPr>
            <w:tcW w:w="1276" w:type="dxa"/>
            <w:tcBorders>
              <w:top w:val="nil"/>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ascii="仿宋_GB2312" w:hAnsi="宋体" w:eastAsia="仿宋_GB2312" w:cs="宋体"/>
                <w:kern w:val="0"/>
                <w:sz w:val="20"/>
                <w:szCs w:val="20"/>
              </w:rPr>
              <w:t>20138</w:t>
            </w:r>
          </w:p>
        </w:tc>
        <w:tc>
          <w:tcPr>
            <w:tcW w:w="3595" w:type="dxa"/>
            <w:tcBorders>
              <w:top w:val="nil"/>
              <w:left w:val="nil"/>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市场监督管理事务</w:t>
            </w:r>
          </w:p>
        </w:tc>
        <w:tc>
          <w:tcPr>
            <w:tcW w:w="278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653.35</w:t>
            </w:r>
          </w:p>
        </w:tc>
        <w:tc>
          <w:tcPr>
            <w:tcW w:w="2978"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lang w:val="en-US" w:eastAsia="zh-CN"/>
              </w:rPr>
              <w:t>495.35</w:t>
            </w:r>
          </w:p>
        </w:tc>
        <w:tc>
          <w:tcPr>
            <w:tcW w:w="252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158.00</w:t>
            </w:r>
          </w:p>
        </w:tc>
      </w:tr>
      <w:tr>
        <w:tblPrEx>
          <w:tblCellMar>
            <w:top w:w="0" w:type="dxa"/>
            <w:left w:w="108" w:type="dxa"/>
            <w:bottom w:w="0" w:type="dxa"/>
            <w:right w:w="108" w:type="dxa"/>
          </w:tblCellMar>
        </w:tblPrEx>
        <w:trPr>
          <w:trHeight w:val="454" w:hRule="exact"/>
          <w:jc w:val="center"/>
        </w:trPr>
        <w:tc>
          <w:tcPr>
            <w:tcW w:w="1276" w:type="dxa"/>
            <w:tcBorders>
              <w:top w:val="nil"/>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ascii="仿宋_GB2312" w:hAnsi="宋体" w:eastAsia="仿宋_GB2312" w:cs="宋体"/>
                <w:kern w:val="0"/>
                <w:sz w:val="20"/>
                <w:szCs w:val="20"/>
              </w:rPr>
              <w:t>2013850</w:t>
            </w:r>
          </w:p>
        </w:tc>
        <w:tc>
          <w:tcPr>
            <w:tcW w:w="3595" w:type="dxa"/>
            <w:tcBorders>
              <w:top w:val="nil"/>
              <w:left w:val="nil"/>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事业运行</w:t>
            </w:r>
          </w:p>
        </w:tc>
        <w:tc>
          <w:tcPr>
            <w:tcW w:w="278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653.35</w:t>
            </w:r>
          </w:p>
        </w:tc>
        <w:tc>
          <w:tcPr>
            <w:tcW w:w="2978"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lang w:val="en-US" w:eastAsia="zh-CN"/>
              </w:rPr>
              <w:t>495.35</w:t>
            </w:r>
          </w:p>
        </w:tc>
        <w:tc>
          <w:tcPr>
            <w:tcW w:w="252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158.00</w:t>
            </w:r>
          </w:p>
        </w:tc>
      </w:tr>
      <w:tr>
        <w:tblPrEx>
          <w:tblCellMar>
            <w:top w:w="0" w:type="dxa"/>
            <w:left w:w="108" w:type="dxa"/>
            <w:bottom w:w="0" w:type="dxa"/>
            <w:right w:w="108" w:type="dxa"/>
          </w:tblCellMar>
        </w:tblPrEx>
        <w:trPr>
          <w:trHeight w:val="454" w:hRule="exact"/>
          <w:jc w:val="center"/>
        </w:trPr>
        <w:tc>
          <w:tcPr>
            <w:tcW w:w="1276" w:type="dxa"/>
            <w:tcBorders>
              <w:top w:val="nil"/>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ascii="仿宋_GB2312" w:hAnsi="宋体" w:eastAsia="仿宋_GB2312" w:cs="宋体"/>
                <w:kern w:val="0"/>
                <w:sz w:val="20"/>
                <w:szCs w:val="20"/>
              </w:rPr>
              <w:t>208</w:t>
            </w:r>
          </w:p>
        </w:tc>
        <w:tc>
          <w:tcPr>
            <w:tcW w:w="3595" w:type="dxa"/>
            <w:tcBorders>
              <w:top w:val="nil"/>
              <w:left w:val="nil"/>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社会保障和就业支出</w:t>
            </w:r>
          </w:p>
        </w:tc>
        <w:tc>
          <w:tcPr>
            <w:tcW w:w="2783"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63.18</w:t>
            </w:r>
          </w:p>
        </w:tc>
        <w:tc>
          <w:tcPr>
            <w:tcW w:w="2978"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lang w:val="en-US" w:eastAsia="zh-CN"/>
              </w:rPr>
              <w:t>63.18</w:t>
            </w:r>
          </w:p>
        </w:tc>
        <w:tc>
          <w:tcPr>
            <w:tcW w:w="252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54" w:hRule="exact"/>
          <w:jc w:val="center"/>
        </w:trPr>
        <w:tc>
          <w:tcPr>
            <w:tcW w:w="1276" w:type="dxa"/>
            <w:tcBorders>
              <w:top w:val="nil"/>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ascii="仿宋_GB2312" w:hAnsi="宋体" w:eastAsia="仿宋_GB2312" w:cs="宋体"/>
                <w:kern w:val="0"/>
                <w:sz w:val="20"/>
                <w:szCs w:val="20"/>
              </w:rPr>
              <w:t>20805</w:t>
            </w:r>
          </w:p>
        </w:tc>
        <w:tc>
          <w:tcPr>
            <w:tcW w:w="3595" w:type="dxa"/>
            <w:tcBorders>
              <w:top w:val="nil"/>
              <w:left w:val="nil"/>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行政事业单位养老支出</w:t>
            </w:r>
          </w:p>
        </w:tc>
        <w:tc>
          <w:tcPr>
            <w:tcW w:w="278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63.18</w:t>
            </w:r>
          </w:p>
        </w:tc>
        <w:tc>
          <w:tcPr>
            <w:tcW w:w="2978"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lang w:val="en-US" w:eastAsia="zh-CN"/>
              </w:rPr>
              <w:t>63.18</w:t>
            </w:r>
          </w:p>
        </w:tc>
        <w:tc>
          <w:tcPr>
            <w:tcW w:w="252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54" w:hRule="exact"/>
          <w:jc w:val="center"/>
        </w:trPr>
        <w:tc>
          <w:tcPr>
            <w:tcW w:w="1276" w:type="dxa"/>
            <w:tcBorders>
              <w:top w:val="nil"/>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ascii="仿宋_GB2312" w:hAnsi="宋体" w:eastAsia="仿宋_GB2312" w:cs="宋体"/>
                <w:kern w:val="0"/>
                <w:sz w:val="20"/>
                <w:szCs w:val="20"/>
              </w:rPr>
              <w:t>2080505</w:t>
            </w:r>
          </w:p>
        </w:tc>
        <w:tc>
          <w:tcPr>
            <w:tcW w:w="3595" w:type="dxa"/>
            <w:tcBorders>
              <w:top w:val="nil"/>
              <w:left w:val="nil"/>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机关事业单位基本养老保险缴费支出</w:t>
            </w:r>
          </w:p>
        </w:tc>
        <w:tc>
          <w:tcPr>
            <w:tcW w:w="2783"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42.12</w:t>
            </w:r>
          </w:p>
        </w:tc>
        <w:tc>
          <w:tcPr>
            <w:tcW w:w="2978"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lang w:val="en-US" w:eastAsia="zh-CN"/>
              </w:rPr>
              <w:t>42.12</w:t>
            </w:r>
          </w:p>
        </w:tc>
        <w:tc>
          <w:tcPr>
            <w:tcW w:w="252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54" w:hRule="exact"/>
          <w:jc w:val="center"/>
        </w:trPr>
        <w:tc>
          <w:tcPr>
            <w:tcW w:w="1276" w:type="dxa"/>
            <w:tcBorders>
              <w:top w:val="nil"/>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ascii="仿宋_GB2312" w:hAnsi="宋体" w:eastAsia="仿宋_GB2312" w:cs="宋体"/>
                <w:kern w:val="0"/>
                <w:sz w:val="20"/>
                <w:szCs w:val="20"/>
              </w:rPr>
              <w:t>2080506</w:t>
            </w:r>
          </w:p>
        </w:tc>
        <w:tc>
          <w:tcPr>
            <w:tcW w:w="3595" w:type="dxa"/>
            <w:tcBorders>
              <w:top w:val="nil"/>
              <w:left w:val="nil"/>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机关事业单位职业年金缴费支出</w:t>
            </w:r>
          </w:p>
        </w:tc>
        <w:tc>
          <w:tcPr>
            <w:tcW w:w="2783"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21.06</w:t>
            </w:r>
          </w:p>
        </w:tc>
        <w:tc>
          <w:tcPr>
            <w:tcW w:w="2978"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lang w:val="en-US" w:eastAsia="zh-CN"/>
              </w:rPr>
              <w:t>21.06</w:t>
            </w:r>
          </w:p>
        </w:tc>
        <w:tc>
          <w:tcPr>
            <w:tcW w:w="252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54" w:hRule="exact"/>
          <w:jc w:val="center"/>
        </w:trPr>
        <w:tc>
          <w:tcPr>
            <w:tcW w:w="1276" w:type="dxa"/>
            <w:tcBorders>
              <w:top w:val="nil"/>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ascii="仿宋_GB2312" w:hAnsi="宋体" w:eastAsia="仿宋_GB2312" w:cs="宋体"/>
                <w:kern w:val="0"/>
                <w:sz w:val="20"/>
                <w:szCs w:val="20"/>
              </w:rPr>
              <w:t>221</w:t>
            </w:r>
          </w:p>
        </w:tc>
        <w:tc>
          <w:tcPr>
            <w:tcW w:w="3595" w:type="dxa"/>
            <w:tcBorders>
              <w:top w:val="nil"/>
              <w:left w:val="nil"/>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住房保障支出</w:t>
            </w:r>
          </w:p>
        </w:tc>
        <w:tc>
          <w:tcPr>
            <w:tcW w:w="2783" w:type="dxa"/>
            <w:tcBorders>
              <w:top w:val="nil"/>
              <w:left w:val="nil"/>
              <w:bottom w:val="single" w:color="auto" w:sz="4" w:space="0"/>
              <w:right w:val="single" w:color="auto" w:sz="4" w:space="0"/>
            </w:tcBorders>
            <w:vAlign w:val="center"/>
          </w:tcPr>
          <w:p>
            <w:pPr>
              <w:spacing w:line="240" w:lineRule="exact"/>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31.68</w:t>
            </w:r>
          </w:p>
        </w:tc>
        <w:tc>
          <w:tcPr>
            <w:tcW w:w="2978"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lang w:val="en-US" w:eastAsia="zh-CN"/>
              </w:rPr>
              <w:t>31.68</w:t>
            </w:r>
          </w:p>
        </w:tc>
        <w:tc>
          <w:tcPr>
            <w:tcW w:w="252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54" w:hRule="exact"/>
          <w:jc w:val="center"/>
        </w:trPr>
        <w:tc>
          <w:tcPr>
            <w:tcW w:w="1276" w:type="dxa"/>
            <w:tcBorders>
              <w:top w:val="nil"/>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ascii="仿宋_GB2312" w:hAnsi="宋体" w:eastAsia="仿宋_GB2312" w:cs="宋体"/>
                <w:kern w:val="0"/>
                <w:sz w:val="20"/>
                <w:szCs w:val="20"/>
              </w:rPr>
              <w:t>22102</w:t>
            </w:r>
          </w:p>
        </w:tc>
        <w:tc>
          <w:tcPr>
            <w:tcW w:w="3595" w:type="dxa"/>
            <w:tcBorders>
              <w:top w:val="nil"/>
              <w:left w:val="nil"/>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住房改革支出</w:t>
            </w:r>
          </w:p>
        </w:tc>
        <w:tc>
          <w:tcPr>
            <w:tcW w:w="278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2978"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lang w:val="en-US" w:eastAsia="zh-CN"/>
              </w:rPr>
              <w:t>31.68</w:t>
            </w:r>
          </w:p>
        </w:tc>
        <w:tc>
          <w:tcPr>
            <w:tcW w:w="252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r>
        <w:tblPrEx>
          <w:tblCellMar>
            <w:top w:w="0" w:type="dxa"/>
            <w:left w:w="108" w:type="dxa"/>
            <w:bottom w:w="0" w:type="dxa"/>
            <w:right w:w="108" w:type="dxa"/>
          </w:tblCellMar>
        </w:tblPrEx>
        <w:trPr>
          <w:trHeight w:val="454" w:hRule="exact"/>
          <w:jc w:val="center"/>
        </w:trPr>
        <w:tc>
          <w:tcPr>
            <w:tcW w:w="1276" w:type="dxa"/>
            <w:tcBorders>
              <w:top w:val="nil"/>
              <w:left w:val="single" w:color="auto" w:sz="4" w:space="0"/>
              <w:bottom w:val="single" w:color="auto" w:sz="4" w:space="0"/>
              <w:right w:val="single" w:color="auto" w:sz="4" w:space="0"/>
            </w:tcBorders>
          </w:tcPr>
          <w:p>
            <w:pPr>
              <w:widowControl/>
              <w:spacing w:line="300" w:lineRule="exact"/>
              <w:jc w:val="left"/>
              <w:rPr>
                <w:rFonts w:hint="eastAsia" w:ascii="仿宋_GB2312" w:hAnsi="宋体" w:eastAsia="仿宋_GB2312" w:cs="宋体"/>
                <w:kern w:val="0"/>
                <w:sz w:val="20"/>
                <w:szCs w:val="20"/>
              </w:rPr>
            </w:pPr>
            <w:commentRangeStart w:id="0"/>
            <w:r>
              <w:rPr>
                <w:rFonts w:ascii="仿宋_GB2312" w:hAnsi="宋体" w:eastAsia="仿宋_GB2312" w:cs="宋体"/>
                <w:kern w:val="0"/>
                <w:sz w:val="20"/>
                <w:szCs w:val="20"/>
              </w:rPr>
              <w:t>2210201</w:t>
            </w:r>
            <w:commentRangeEnd w:id="0"/>
            <w:r>
              <w:rPr>
                <w:rStyle w:val="14"/>
              </w:rPr>
              <w:commentReference w:id="0"/>
            </w:r>
          </w:p>
        </w:tc>
        <w:tc>
          <w:tcPr>
            <w:tcW w:w="3595" w:type="dxa"/>
            <w:tcBorders>
              <w:top w:val="nil"/>
              <w:left w:val="nil"/>
              <w:bottom w:val="single" w:color="auto" w:sz="4" w:space="0"/>
              <w:right w:val="single" w:color="auto" w:sz="4" w:space="0"/>
            </w:tcBorders>
          </w:tcPr>
          <w:p>
            <w:pPr>
              <w:widowControl/>
              <w:tabs>
                <w:tab w:val="center" w:pos="1689"/>
              </w:tabs>
              <w:spacing w:line="300" w:lineRule="exact"/>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住房公积金</w:t>
            </w:r>
            <w:r>
              <w:rPr>
                <w:rFonts w:hint="eastAsia" w:ascii="仿宋_GB2312" w:hAnsi="宋体" w:eastAsia="仿宋_GB2312" w:cs="宋体"/>
                <w:kern w:val="0"/>
                <w:sz w:val="20"/>
                <w:szCs w:val="20"/>
                <w:lang w:eastAsia="zh-CN"/>
              </w:rPr>
              <w:tab/>
            </w:r>
          </w:p>
        </w:tc>
        <w:tc>
          <w:tcPr>
            <w:tcW w:w="278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2978"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lang w:val="en-US" w:eastAsia="zh-CN"/>
              </w:rPr>
              <w:t>31.68</w:t>
            </w:r>
          </w:p>
        </w:tc>
        <w:tc>
          <w:tcPr>
            <w:tcW w:w="2520"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r>
    </w:tbl>
    <w:p>
      <w:pPr>
        <w:spacing w:line="400" w:lineRule="exact"/>
        <w:ind w:firstLine="108" w:firstLineChars="50"/>
        <w:jc w:val="left"/>
        <w:rPr>
          <w:rFonts w:hint="eastAsia" w:ascii="仿宋_GB2312" w:hAnsi="宋体" w:eastAsia="仿宋_GB2312"/>
          <w:sz w:val="22"/>
          <w:szCs w:val="22"/>
        </w:rPr>
      </w:pPr>
      <w:r>
        <w:rPr>
          <w:rFonts w:hint="eastAsia" w:ascii="仿宋_GB2312" w:hAnsi="宋体" w:eastAsia="仿宋_GB2312"/>
          <w:sz w:val="22"/>
          <w:szCs w:val="22"/>
        </w:rPr>
        <w:t>注：本表反映单位本年度一般公共预算财政拨款支出情况。</w:t>
      </w:r>
    </w:p>
    <w:p>
      <w:pPr>
        <w:spacing w:line="400" w:lineRule="exact"/>
        <w:jc w:val="left"/>
        <w:rPr>
          <w:rFonts w:ascii="仿宋_GB2312" w:hAnsi="宋体" w:eastAsia="仿宋_GB2312"/>
          <w:sz w:val="22"/>
          <w:szCs w:val="22"/>
        </w:rPr>
        <w:sectPr>
          <w:pgSz w:w="16838" w:h="11906" w:orient="landscape"/>
          <w:pgMar w:top="851" w:right="1701" w:bottom="567" w:left="1701" w:header="0" w:footer="1418" w:gutter="0"/>
          <w:cols w:space="720" w:num="1"/>
          <w:docGrid w:type="linesAndChars" w:linePitch="610" w:charSpace="-849"/>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一般公共预算财政拨款基本支出决算表</w:t>
      </w:r>
    </w:p>
    <w:p>
      <w:pPr>
        <w:spacing w:line="400" w:lineRule="exact"/>
        <w:jc w:val="right"/>
        <w:rPr>
          <w:rFonts w:hint="eastAsia" w:ascii="楷体_GB2312" w:eastAsia="楷体_GB2312"/>
          <w:sz w:val="28"/>
          <w:szCs w:val="28"/>
        </w:rPr>
      </w:pPr>
      <w:r>
        <w:rPr>
          <w:rFonts w:hint="eastAsia" w:ascii="楷体_GB2312" w:eastAsia="楷体_GB2312"/>
          <w:sz w:val="28"/>
          <w:szCs w:val="28"/>
        </w:rPr>
        <w:t>公开06表</w:t>
      </w:r>
    </w:p>
    <w:p>
      <w:pPr>
        <w:spacing w:line="400" w:lineRule="exact"/>
        <w:ind w:firstLine="138" w:firstLineChars="50"/>
        <w:jc w:val="right"/>
        <w:rPr>
          <w:rFonts w:hint="eastAsia" w:ascii="楷体_GB2312" w:eastAsia="楷体_GB2312"/>
          <w:sz w:val="28"/>
          <w:szCs w:val="28"/>
        </w:rPr>
      </w:pPr>
      <w:r>
        <w:rPr>
          <w:rFonts w:hint="eastAsia" w:ascii="楷体_GB2312" w:eastAsia="楷体_GB2312"/>
          <w:sz w:val="28"/>
          <w:szCs w:val="28"/>
        </w:rPr>
        <w:t>单位：青岛市标准化研究院                                                          金额单位：万元</w:t>
      </w:r>
    </w:p>
    <w:tbl>
      <w:tblPr>
        <w:tblStyle w:val="11"/>
        <w:tblW w:w="0" w:type="auto"/>
        <w:jc w:val="center"/>
        <w:tblLayout w:type="fixed"/>
        <w:tblCellMar>
          <w:top w:w="0" w:type="dxa"/>
          <w:left w:w="108" w:type="dxa"/>
          <w:bottom w:w="0" w:type="dxa"/>
          <w:right w:w="108" w:type="dxa"/>
        </w:tblCellMar>
      </w:tblPr>
      <w:tblGrid>
        <w:gridCol w:w="1008"/>
        <w:gridCol w:w="3023"/>
        <w:gridCol w:w="847"/>
        <w:gridCol w:w="1138"/>
        <w:gridCol w:w="1984"/>
        <w:gridCol w:w="833"/>
        <w:gridCol w:w="1010"/>
        <w:gridCol w:w="2551"/>
        <w:gridCol w:w="881"/>
      </w:tblGrid>
      <w:tr>
        <w:tblPrEx>
          <w:tblCellMar>
            <w:top w:w="0" w:type="dxa"/>
            <w:left w:w="108" w:type="dxa"/>
            <w:bottom w:w="0" w:type="dxa"/>
            <w:right w:w="108" w:type="dxa"/>
          </w:tblCellMar>
        </w:tblPrEx>
        <w:trPr>
          <w:trHeight w:val="369" w:hRule="atLeast"/>
          <w:tblHeader/>
          <w:jc w:val="center"/>
        </w:trPr>
        <w:tc>
          <w:tcPr>
            <w:tcW w:w="4878" w:type="dxa"/>
            <w:gridSpan w:val="3"/>
            <w:tcBorders>
              <w:top w:val="single" w:color="auto" w:sz="8" w:space="0"/>
              <w:left w:val="single" w:color="auto" w:sz="8"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人员经费</w:t>
            </w:r>
          </w:p>
        </w:tc>
        <w:tc>
          <w:tcPr>
            <w:tcW w:w="8397" w:type="dxa"/>
            <w:gridSpan w:val="6"/>
            <w:tcBorders>
              <w:top w:val="single" w:color="auto" w:sz="8" w:space="0"/>
              <w:left w:val="nil"/>
              <w:bottom w:val="single" w:color="auto" w:sz="4" w:space="0"/>
              <w:right w:val="single" w:color="000000" w:sz="8" w:space="0"/>
            </w:tcBorders>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公用经费</w:t>
            </w:r>
          </w:p>
        </w:tc>
      </w:tr>
      <w:tr>
        <w:tblPrEx>
          <w:tblCellMar>
            <w:top w:w="0" w:type="dxa"/>
            <w:left w:w="108" w:type="dxa"/>
            <w:bottom w:w="0" w:type="dxa"/>
            <w:right w:w="108" w:type="dxa"/>
          </w:tblCellMar>
        </w:tblPrEx>
        <w:trPr>
          <w:trHeight w:val="300" w:hRule="atLeast"/>
          <w:tblHeader/>
          <w:jc w:val="center"/>
        </w:trPr>
        <w:tc>
          <w:tcPr>
            <w:tcW w:w="1008" w:type="dxa"/>
            <w:vMerge w:val="restart"/>
            <w:tcBorders>
              <w:top w:val="nil"/>
              <w:left w:val="single" w:color="auto" w:sz="8"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 科目编码</w:t>
            </w:r>
          </w:p>
        </w:tc>
        <w:tc>
          <w:tcPr>
            <w:tcW w:w="302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4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c>
          <w:tcPr>
            <w:tcW w:w="1138"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经济分类科目编码</w:t>
            </w:r>
          </w:p>
        </w:tc>
        <w:tc>
          <w:tcPr>
            <w:tcW w:w="1984"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3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c>
          <w:tcPr>
            <w:tcW w:w="101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经济分类科目编码</w:t>
            </w:r>
          </w:p>
        </w:tc>
        <w:tc>
          <w:tcPr>
            <w:tcW w:w="255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81" w:type="dxa"/>
            <w:vMerge w:val="restart"/>
            <w:tcBorders>
              <w:top w:val="nil"/>
              <w:left w:val="single" w:color="auto" w:sz="4" w:space="0"/>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r>
      <w:tr>
        <w:tblPrEx>
          <w:tblCellMar>
            <w:top w:w="0" w:type="dxa"/>
            <w:left w:w="108" w:type="dxa"/>
            <w:bottom w:w="0" w:type="dxa"/>
            <w:right w:w="108" w:type="dxa"/>
          </w:tblCellMar>
        </w:tblPrEx>
        <w:trPr>
          <w:trHeight w:val="300" w:hRule="atLeast"/>
          <w:tblHeader/>
          <w:jc w:val="center"/>
        </w:trPr>
        <w:tc>
          <w:tcPr>
            <w:tcW w:w="1008"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color w:val="000000"/>
                <w:kern w:val="0"/>
                <w:sz w:val="22"/>
                <w:szCs w:val="22"/>
              </w:rPr>
            </w:pPr>
          </w:p>
        </w:tc>
        <w:tc>
          <w:tcPr>
            <w:tcW w:w="302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color w:val="000000"/>
                <w:kern w:val="0"/>
                <w:sz w:val="22"/>
                <w:szCs w:val="22"/>
              </w:rPr>
            </w:pPr>
          </w:p>
        </w:tc>
        <w:tc>
          <w:tcPr>
            <w:tcW w:w="84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color w:val="000000"/>
                <w:kern w:val="0"/>
                <w:sz w:val="22"/>
                <w:szCs w:val="22"/>
              </w:rPr>
            </w:pPr>
          </w:p>
        </w:tc>
        <w:tc>
          <w:tcPr>
            <w:tcW w:w="113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color w:val="000000"/>
                <w:kern w:val="0"/>
                <w:sz w:val="22"/>
                <w:szCs w:val="22"/>
              </w:rPr>
            </w:pPr>
          </w:p>
        </w:tc>
        <w:tc>
          <w:tcPr>
            <w:tcW w:w="198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color w:val="000000"/>
                <w:kern w:val="0"/>
                <w:sz w:val="22"/>
                <w:szCs w:val="22"/>
              </w:rPr>
            </w:pPr>
          </w:p>
        </w:tc>
        <w:tc>
          <w:tcPr>
            <w:tcW w:w="83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color w:val="000000"/>
                <w:kern w:val="0"/>
                <w:sz w:val="22"/>
                <w:szCs w:val="22"/>
              </w:rPr>
            </w:pPr>
          </w:p>
        </w:tc>
        <w:tc>
          <w:tcPr>
            <w:tcW w:w="101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color w:val="000000"/>
                <w:kern w:val="0"/>
                <w:sz w:val="22"/>
                <w:szCs w:val="22"/>
              </w:rPr>
            </w:pPr>
          </w:p>
        </w:tc>
        <w:tc>
          <w:tcPr>
            <w:tcW w:w="25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color w:val="000000"/>
                <w:kern w:val="0"/>
                <w:sz w:val="22"/>
                <w:szCs w:val="22"/>
              </w:rPr>
            </w:pPr>
          </w:p>
        </w:tc>
        <w:tc>
          <w:tcPr>
            <w:tcW w:w="881" w:type="dxa"/>
            <w:vMerge w:val="continue"/>
            <w:tcBorders>
              <w:top w:val="nil"/>
              <w:left w:val="single" w:color="auto" w:sz="4" w:space="0"/>
              <w:bottom w:val="single" w:color="auto" w:sz="4" w:space="0"/>
              <w:right w:val="single" w:color="auto" w:sz="8" w:space="0"/>
            </w:tcBorders>
            <w:vAlign w:val="center"/>
          </w:tcPr>
          <w:p>
            <w:pPr>
              <w:widowControl/>
              <w:spacing w:line="300" w:lineRule="exact"/>
              <w:jc w:val="left"/>
              <w:rPr>
                <w:rFonts w:hint="eastAsia"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工资福利支出</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361.60</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商品和服务支出</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219.78</w:t>
            </w: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债务利息及费用支出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30101</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97.48</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30201</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4.53</w:t>
            </w: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30701</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国内债务付息</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30102</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36.73</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30202</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印刷费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30702</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国外债务付息</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30103</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奖金</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30203</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咨询费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2.50</w:t>
            </w: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30703</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国内债务发行费用</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30106</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伙食补助费</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30204</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手续费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30704</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国外债务发行费用</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30107</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绩效工资</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105.25</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30205</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1.75</w:t>
            </w: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资本性支出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30108</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机关事业单位基本养老保险缴费</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42.12</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30206</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3.23</w:t>
            </w: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31001</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房屋建筑物购建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30109</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职业年金缴费</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21.06</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30207</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邮电费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10.23</w:t>
            </w: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31002</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办公设备购置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30110</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职工基本医疗保险缴费</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24.83</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30208</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取暖费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31003</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专用设备购置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30111</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公务员医疗补助缴费</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物业管理费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0.11</w:t>
            </w: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31005</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基础设施建设</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30112</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其他社会保障缴费</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2.45</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30211</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差旅费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0.44</w:t>
            </w: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31006</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大型修缮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30113</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住房公积金</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31.68</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30212</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因公出国（境）费用</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31007</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信息网络及软件购置更新</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30114</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30213</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维修(护)费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1.05</w:t>
            </w: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31008</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物资储备</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30199</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其他工资福利支出</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30214</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租赁费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31009</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土地补偿</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对个人和家庭的补助</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8.83</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30215</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会议费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31010</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安置补助</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30301</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离休费</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2.45</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30216</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培训费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31011</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地上附着物和青苗补偿</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30302</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退休费</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30217</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公务接待费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0.19</w:t>
            </w: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31012</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拆迁补偿</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30303</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退职（役）费</w:t>
            </w:r>
          </w:p>
        </w:tc>
        <w:tc>
          <w:tcPr>
            <w:tcW w:w="847"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30218</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专用材料费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31013</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30304</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抚恤金</w:t>
            </w:r>
          </w:p>
        </w:tc>
        <w:tc>
          <w:tcPr>
            <w:tcW w:w="847" w:type="dxa"/>
            <w:tcBorders>
              <w:top w:val="nil"/>
              <w:left w:val="nil"/>
              <w:bottom w:val="single" w:color="auto" w:sz="4" w:space="0"/>
              <w:right w:val="single" w:color="auto" w:sz="4" w:space="0"/>
            </w:tcBorders>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30224</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被装购置费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31019</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其他交通工具购置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30305</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生活补助</w:t>
            </w:r>
          </w:p>
        </w:tc>
        <w:tc>
          <w:tcPr>
            <w:tcW w:w="847" w:type="dxa"/>
            <w:tcBorders>
              <w:top w:val="nil"/>
              <w:left w:val="nil"/>
              <w:bottom w:val="single" w:color="auto" w:sz="4" w:space="0"/>
              <w:right w:val="single" w:color="auto" w:sz="4" w:space="0"/>
            </w:tcBorders>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30225</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专用燃料费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31021</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文物和陈列品购置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30306</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救济费</w:t>
            </w:r>
          </w:p>
        </w:tc>
        <w:tc>
          <w:tcPr>
            <w:tcW w:w="847" w:type="dxa"/>
            <w:tcBorders>
              <w:top w:val="nil"/>
              <w:left w:val="nil"/>
              <w:bottom w:val="single" w:color="auto" w:sz="4" w:space="0"/>
              <w:right w:val="single" w:color="auto" w:sz="4" w:space="0"/>
            </w:tcBorders>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30226</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劳务费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31022</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无形资产购置</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30307</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医疗费补助</w:t>
            </w:r>
          </w:p>
        </w:tc>
        <w:tc>
          <w:tcPr>
            <w:tcW w:w="847" w:type="dxa"/>
            <w:tcBorders>
              <w:top w:val="nil"/>
              <w:left w:val="nil"/>
              <w:bottom w:val="single" w:color="auto" w:sz="4" w:space="0"/>
              <w:right w:val="single" w:color="auto" w:sz="4" w:space="0"/>
            </w:tcBorders>
          </w:tcPr>
          <w:p>
            <w:pPr>
              <w:spacing w:line="240" w:lineRule="exact"/>
              <w:jc w:val="center"/>
              <w:rPr>
                <w:rFonts w:hint="eastAsia" w:ascii="仿宋_GB2312" w:eastAsia="仿宋_GB2312"/>
                <w:sz w:val="18"/>
                <w:szCs w:val="18"/>
              </w:rPr>
            </w:pPr>
            <w:r>
              <w:rPr>
                <w:rFonts w:ascii="仿宋_GB2312" w:eastAsia="仿宋_GB2312"/>
                <w:sz w:val="18"/>
                <w:szCs w:val="18"/>
              </w:rPr>
              <w:t>6.37</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30227</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委托业务费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31099</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其他资本性支出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30308</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助学金</w:t>
            </w:r>
          </w:p>
        </w:tc>
        <w:tc>
          <w:tcPr>
            <w:tcW w:w="847" w:type="dxa"/>
            <w:tcBorders>
              <w:top w:val="nil"/>
              <w:left w:val="nil"/>
              <w:bottom w:val="single" w:color="auto" w:sz="4" w:space="0"/>
              <w:right w:val="single" w:color="auto" w:sz="4" w:space="0"/>
            </w:tcBorders>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30228</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工会经费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6.87</w:t>
            </w: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对企业补助</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30309</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奖励金</w:t>
            </w:r>
          </w:p>
        </w:tc>
        <w:tc>
          <w:tcPr>
            <w:tcW w:w="847" w:type="dxa"/>
            <w:tcBorders>
              <w:top w:val="nil"/>
              <w:left w:val="nil"/>
              <w:bottom w:val="single" w:color="auto" w:sz="4" w:space="0"/>
              <w:right w:val="single" w:color="auto" w:sz="4" w:space="0"/>
            </w:tcBorders>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31201</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资本金注入</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30310</w:t>
            </w:r>
          </w:p>
        </w:tc>
        <w:tc>
          <w:tcPr>
            <w:tcW w:w="3023"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个人农业生产补贴</w:t>
            </w:r>
          </w:p>
        </w:tc>
        <w:tc>
          <w:tcPr>
            <w:tcW w:w="847" w:type="dxa"/>
            <w:tcBorders>
              <w:top w:val="nil"/>
              <w:left w:val="nil"/>
              <w:bottom w:val="single" w:color="auto" w:sz="4" w:space="0"/>
              <w:right w:val="single" w:color="auto" w:sz="4" w:space="0"/>
            </w:tcBorders>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30231</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公务用车运行维护费</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31203</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政府投资基金股权投资</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30311</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代缴社会保险费</w:t>
            </w:r>
          </w:p>
        </w:tc>
        <w:tc>
          <w:tcPr>
            <w:tcW w:w="847" w:type="dxa"/>
            <w:tcBorders>
              <w:top w:val="nil"/>
              <w:left w:val="nil"/>
              <w:bottom w:val="single" w:color="auto" w:sz="4" w:space="0"/>
              <w:right w:val="single" w:color="auto" w:sz="4" w:space="0"/>
            </w:tcBorders>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其他交通费用</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0.01</w:t>
            </w: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31204</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费用补贴</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30399</w:t>
            </w: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其他对个人和家庭的补助</w:t>
            </w:r>
          </w:p>
        </w:tc>
        <w:tc>
          <w:tcPr>
            <w:tcW w:w="847" w:type="dxa"/>
            <w:tcBorders>
              <w:top w:val="nil"/>
              <w:left w:val="nil"/>
              <w:bottom w:val="single" w:color="auto" w:sz="4" w:space="0"/>
              <w:right w:val="single" w:color="auto" w:sz="4" w:space="0"/>
            </w:tcBorders>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30240</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税金及附加费用</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31205</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利息补贴</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30299</w:t>
            </w: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其他商品和服务支出</w:t>
            </w: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r>
              <w:rPr>
                <w:rFonts w:ascii="仿宋_GB2312" w:eastAsia="仿宋_GB2312"/>
                <w:sz w:val="18"/>
                <w:szCs w:val="18"/>
              </w:rPr>
              <w:t>188.88</w:t>
            </w: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31299</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其他对企业补助</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39906</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赠与</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39907</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国家赔偿费用支出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39908</w:t>
            </w:r>
          </w:p>
        </w:tc>
        <w:tc>
          <w:tcPr>
            <w:tcW w:w="2551"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对民间非营利组织和群众性自治组织补贴</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color w:val="000000"/>
                <w:kern w:val="0"/>
                <w:sz w:val="20"/>
                <w:szCs w:val="20"/>
              </w:rPr>
            </w:pPr>
          </w:p>
        </w:tc>
        <w:tc>
          <w:tcPr>
            <w:tcW w:w="84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color w:val="000000"/>
                <w:kern w:val="0"/>
                <w:sz w:val="20"/>
                <w:szCs w:val="20"/>
              </w:rPr>
            </w:pP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vAlign w:val="center"/>
          </w:tcPr>
          <w:p>
            <w:pPr>
              <w:spacing w:line="240" w:lineRule="exact"/>
              <w:jc w:val="center"/>
              <w:rPr>
                <w:rFonts w:hint="eastAsia" w:ascii="仿宋_GB2312" w:eastAsia="仿宋_GB2312"/>
                <w:sz w:val="18"/>
                <w:szCs w:val="18"/>
              </w:rPr>
            </w:pPr>
          </w:p>
        </w:tc>
        <w:tc>
          <w:tcPr>
            <w:tcW w:w="1010" w:type="dxa"/>
            <w:tcBorders>
              <w:top w:val="nil"/>
              <w:left w:val="nil"/>
              <w:bottom w:val="single" w:color="auto" w:sz="4" w:space="0"/>
              <w:right w:val="single" w:color="auto" w:sz="4" w:space="0"/>
            </w:tcBorders>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39999</w:t>
            </w:r>
          </w:p>
        </w:tc>
        <w:tc>
          <w:tcPr>
            <w:tcW w:w="255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881" w:type="dxa"/>
            <w:tcBorders>
              <w:top w:val="nil"/>
              <w:left w:val="nil"/>
              <w:bottom w:val="single" w:color="auto" w:sz="4" w:space="0"/>
              <w:right w:val="single" w:color="auto" w:sz="8" w:space="0"/>
            </w:tcBorders>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4031" w:type="dxa"/>
            <w:gridSpan w:val="2"/>
            <w:tcBorders>
              <w:top w:val="single" w:color="auto" w:sz="4" w:space="0"/>
              <w:left w:val="single" w:color="auto" w:sz="8" w:space="0"/>
              <w:bottom w:val="single" w:color="auto" w:sz="8"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人员经费合计</w:t>
            </w:r>
          </w:p>
        </w:tc>
        <w:tc>
          <w:tcPr>
            <w:tcW w:w="847" w:type="dxa"/>
            <w:tcBorders>
              <w:top w:val="nil"/>
              <w:left w:val="nil"/>
              <w:bottom w:val="single" w:color="auto" w:sz="8"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370.43</w:t>
            </w:r>
          </w:p>
        </w:tc>
        <w:tc>
          <w:tcPr>
            <w:tcW w:w="7516" w:type="dxa"/>
            <w:gridSpan w:val="5"/>
            <w:tcBorders>
              <w:top w:val="single" w:color="auto" w:sz="4" w:space="0"/>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公用经费合计</w:t>
            </w:r>
          </w:p>
        </w:tc>
        <w:tc>
          <w:tcPr>
            <w:tcW w:w="881" w:type="dxa"/>
            <w:tcBorders>
              <w:top w:val="nil"/>
              <w:left w:val="nil"/>
              <w:bottom w:val="single" w:color="auto" w:sz="8" w:space="0"/>
              <w:right w:val="single" w:color="auto" w:sz="8" w:space="0"/>
            </w:tcBorders>
            <w:vAlign w:val="center"/>
          </w:tcPr>
          <w:p>
            <w:pPr>
              <w:spacing w:line="240" w:lineRule="exact"/>
              <w:jc w:val="center"/>
              <w:rPr>
                <w:rFonts w:ascii="仿宋_GB2312" w:hAnsi="宋体" w:eastAsia="仿宋_GB2312" w:cs="宋体"/>
                <w:color w:val="000000"/>
                <w:kern w:val="0"/>
                <w:sz w:val="20"/>
                <w:szCs w:val="20"/>
              </w:rPr>
            </w:pPr>
            <w:r>
              <w:rPr>
                <w:rFonts w:ascii="仿宋_GB2312" w:eastAsia="仿宋_GB2312"/>
                <w:sz w:val="18"/>
                <w:szCs w:val="18"/>
              </w:rPr>
              <w:t>219.78</w:t>
            </w:r>
          </w:p>
        </w:tc>
      </w:tr>
    </w:tbl>
    <w:p>
      <w:pPr>
        <w:spacing w:line="400" w:lineRule="exact"/>
        <w:ind w:firstLine="108" w:firstLineChars="50"/>
        <w:jc w:val="left"/>
        <w:rPr>
          <w:rFonts w:hint="eastAsia" w:ascii="仿宋_GB2312" w:hAnsi="宋体" w:eastAsia="仿宋_GB2312"/>
          <w:sz w:val="22"/>
          <w:szCs w:val="22"/>
        </w:rPr>
      </w:pPr>
      <w:r>
        <w:rPr>
          <w:rFonts w:hint="eastAsia" w:ascii="仿宋_GB2312" w:hAnsi="宋体" w:eastAsia="仿宋_GB2312"/>
          <w:sz w:val="22"/>
          <w:szCs w:val="22"/>
        </w:rPr>
        <w:t>注:本表反映单位本年度一般公共预算财政拨款基本支出明细情况。</w:t>
      </w:r>
    </w:p>
    <w:p>
      <w:pPr>
        <w:rPr>
          <w:rFonts w:hint="eastAsia"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一般公共预算财政拨款“三公”经费支出决算表</w:t>
      </w:r>
    </w:p>
    <w:p>
      <w:pPr>
        <w:wordWrap w:val="0"/>
        <w:spacing w:line="400" w:lineRule="exact"/>
        <w:jc w:val="right"/>
        <w:rPr>
          <w:rFonts w:hint="eastAsia" w:ascii="楷体_GB2312" w:eastAsia="楷体_GB2312"/>
          <w:sz w:val="28"/>
          <w:szCs w:val="28"/>
        </w:rPr>
      </w:pPr>
      <w:r>
        <w:rPr>
          <w:rFonts w:hint="eastAsia" w:ascii="方正小标宋简体" w:eastAsia="方正小标宋简体"/>
          <w:sz w:val="44"/>
          <w:szCs w:val="44"/>
        </w:rPr>
        <w:t>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公开07表</w:t>
      </w:r>
    </w:p>
    <w:p>
      <w:pPr>
        <w:spacing w:line="400" w:lineRule="exact"/>
        <w:ind w:firstLine="138" w:firstLineChars="50"/>
        <w:jc w:val="right"/>
        <w:rPr>
          <w:rFonts w:hint="eastAsia" w:ascii="楷体_GB2312" w:eastAsia="楷体_GB2312"/>
          <w:sz w:val="28"/>
          <w:szCs w:val="28"/>
        </w:rPr>
      </w:pPr>
      <w:r>
        <w:rPr>
          <w:rFonts w:hint="eastAsia" w:ascii="楷体_GB2312" w:eastAsia="楷体_GB2312"/>
          <w:sz w:val="28"/>
          <w:szCs w:val="28"/>
        </w:rPr>
        <w:t>单位：青岛市标准化研究院                                                          金额单位：万元</w:t>
      </w:r>
    </w:p>
    <w:tbl>
      <w:tblPr>
        <w:tblStyle w:val="11"/>
        <w:tblW w:w="0" w:type="auto"/>
        <w:jc w:val="center"/>
        <w:tblLayout w:type="fixed"/>
        <w:tblCellMar>
          <w:top w:w="0" w:type="dxa"/>
          <w:left w:w="108" w:type="dxa"/>
          <w:bottom w:w="0" w:type="dxa"/>
          <w:right w:w="108" w:type="dxa"/>
        </w:tblCellMar>
      </w:tblPr>
      <w:tblGrid>
        <w:gridCol w:w="1179"/>
        <w:gridCol w:w="1195"/>
        <w:gridCol w:w="1180"/>
        <w:gridCol w:w="1180"/>
        <w:gridCol w:w="1272"/>
        <w:gridCol w:w="878"/>
        <w:gridCol w:w="1098"/>
        <w:gridCol w:w="1143"/>
        <w:gridCol w:w="851"/>
        <w:gridCol w:w="1132"/>
        <w:gridCol w:w="1164"/>
        <w:gridCol w:w="984"/>
      </w:tblGrid>
      <w:tr>
        <w:tblPrEx>
          <w:tblCellMar>
            <w:top w:w="0" w:type="dxa"/>
            <w:left w:w="108" w:type="dxa"/>
            <w:bottom w:w="0" w:type="dxa"/>
            <w:right w:w="108" w:type="dxa"/>
          </w:tblCellMar>
        </w:tblPrEx>
        <w:trPr>
          <w:trHeight w:val="862" w:hRule="atLeast"/>
          <w:jc w:val="center"/>
        </w:trPr>
        <w:tc>
          <w:tcPr>
            <w:tcW w:w="6884" w:type="dxa"/>
            <w:gridSpan w:val="6"/>
            <w:tcBorders>
              <w:top w:val="single" w:color="auto" w:sz="8" w:space="0"/>
              <w:left w:val="single" w:color="auto" w:sz="8" w:space="0"/>
              <w:bottom w:val="single" w:color="auto" w:sz="4"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预 算 数</w:t>
            </w:r>
          </w:p>
        </w:tc>
        <w:tc>
          <w:tcPr>
            <w:tcW w:w="6372" w:type="dxa"/>
            <w:gridSpan w:val="6"/>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决 算 数　</w:t>
            </w:r>
          </w:p>
        </w:tc>
      </w:tr>
      <w:tr>
        <w:tblPrEx>
          <w:tblCellMar>
            <w:top w:w="0" w:type="dxa"/>
            <w:left w:w="108" w:type="dxa"/>
            <w:bottom w:w="0" w:type="dxa"/>
            <w:right w:w="108" w:type="dxa"/>
          </w:tblCellMar>
        </w:tblPrEx>
        <w:trPr>
          <w:trHeight w:val="862" w:hRule="atLeast"/>
          <w:jc w:val="center"/>
        </w:trPr>
        <w:tc>
          <w:tcPr>
            <w:tcW w:w="1179" w:type="dxa"/>
            <w:vMerge w:val="restart"/>
            <w:tcBorders>
              <w:top w:val="nil"/>
              <w:left w:val="single" w:color="auto" w:sz="8"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1195"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因公出国（境）费</w:t>
            </w:r>
          </w:p>
        </w:tc>
        <w:tc>
          <w:tcPr>
            <w:tcW w:w="3632"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公务用车购置及运行维护费</w:t>
            </w:r>
          </w:p>
        </w:tc>
        <w:tc>
          <w:tcPr>
            <w:tcW w:w="878" w:type="dxa"/>
            <w:vMerge w:val="restart"/>
            <w:tcBorders>
              <w:top w:val="nil"/>
              <w:left w:val="single" w:color="auto" w:sz="4" w:space="0"/>
              <w:bottom w:val="single" w:color="auto" w:sz="4"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接待费</w:t>
            </w:r>
          </w:p>
        </w:tc>
        <w:tc>
          <w:tcPr>
            <w:tcW w:w="1098" w:type="dxa"/>
            <w:vMerge w:val="restart"/>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1143"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因公出国（境）费</w:t>
            </w:r>
          </w:p>
        </w:tc>
        <w:tc>
          <w:tcPr>
            <w:tcW w:w="3147" w:type="dxa"/>
            <w:gridSpan w:val="3"/>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公务用车购置及运行维护费</w:t>
            </w:r>
          </w:p>
        </w:tc>
        <w:tc>
          <w:tcPr>
            <w:tcW w:w="98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接待费</w:t>
            </w:r>
          </w:p>
        </w:tc>
      </w:tr>
      <w:tr>
        <w:tblPrEx>
          <w:tblCellMar>
            <w:top w:w="0" w:type="dxa"/>
            <w:left w:w="108" w:type="dxa"/>
            <w:bottom w:w="0" w:type="dxa"/>
            <w:right w:w="108" w:type="dxa"/>
          </w:tblCellMar>
        </w:tblPrEx>
        <w:trPr>
          <w:trHeight w:val="862" w:hRule="atLeast"/>
          <w:jc w:val="center"/>
        </w:trPr>
        <w:tc>
          <w:tcPr>
            <w:tcW w:w="1179"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19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180"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1180"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公务用车购置费</w:t>
            </w:r>
          </w:p>
        </w:tc>
        <w:tc>
          <w:tcPr>
            <w:tcW w:w="1272"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公务用车运行维护费</w:t>
            </w:r>
          </w:p>
        </w:tc>
        <w:tc>
          <w:tcPr>
            <w:tcW w:w="878" w:type="dxa"/>
            <w:vMerge w:val="continue"/>
            <w:tcBorders>
              <w:top w:val="nil"/>
              <w:left w:val="single" w:color="auto" w:sz="4" w:space="0"/>
              <w:bottom w:val="single" w:color="auto" w:sz="4" w:space="0"/>
              <w:right w:val="single" w:color="000000" w:sz="8" w:space="0"/>
            </w:tcBorders>
            <w:vAlign w:val="center"/>
          </w:tcPr>
          <w:p>
            <w:pPr>
              <w:widowControl/>
              <w:spacing w:line="300" w:lineRule="exact"/>
              <w:jc w:val="left"/>
              <w:rPr>
                <w:rFonts w:hint="eastAsia" w:ascii="仿宋_GB2312" w:hAnsi="宋体" w:eastAsia="仿宋_GB2312" w:cs="宋体"/>
                <w:kern w:val="0"/>
                <w:sz w:val="22"/>
                <w:szCs w:val="22"/>
              </w:rPr>
            </w:pPr>
          </w:p>
        </w:tc>
        <w:tc>
          <w:tcPr>
            <w:tcW w:w="1098"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hint="eastAsia" w:ascii="仿宋_GB2312" w:hAnsi="宋体" w:eastAsia="仿宋_GB2312" w:cs="宋体"/>
                <w:kern w:val="0"/>
                <w:sz w:val="22"/>
                <w:szCs w:val="22"/>
              </w:rPr>
            </w:pPr>
          </w:p>
        </w:tc>
        <w:tc>
          <w:tcPr>
            <w:tcW w:w="1143"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hint="eastAsia" w:ascii="仿宋_GB2312" w:hAnsi="宋体" w:eastAsia="仿宋_GB2312" w:cs="宋体"/>
                <w:kern w:val="0"/>
                <w:sz w:val="22"/>
                <w:szCs w:val="22"/>
              </w:rPr>
            </w:pP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公务用车购置费</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公务用车运行维护费</w:t>
            </w:r>
          </w:p>
        </w:tc>
        <w:tc>
          <w:tcPr>
            <w:tcW w:w="984"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623" w:hRule="atLeast"/>
          <w:jc w:val="center"/>
        </w:trPr>
        <w:tc>
          <w:tcPr>
            <w:tcW w:w="1179" w:type="dxa"/>
            <w:tcBorders>
              <w:top w:val="nil"/>
              <w:left w:val="single" w:color="auto" w:sz="8" w:space="0"/>
              <w:bottom w:val="single" w:color="auto" w:sz="8"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195" w:type="dxa"/>
            <w:tcBorders>
              <w:top w:val="nil"/>
              <w:left w:val="nil"/>
              <w:bottom w:val="single" w:color="auto" w:sz="8"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180" w:type="dxa"/>
            <w:tcBorders>
              <w:top w:val="nil"/>
              <w:left w:val="nil"/>
              <w:bottom w:val="single" w:color="auto" w:sz="8"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180" w:type="dxa"/>
            <w:tcBorders>
              <w:top w:val="nil"/>
              <w:left w:val="nil"/>
              <w:bottom w:val="single" w:color="auto" w:sz="8"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272" w:type="dxa"/>
            <w:tcBorders>
              <w:top w:val="nil"/>
              <w:left w:val="nil"/>
              <w:bottom w:val="single" w:color="auto" w:sz="8"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878" w:type="dxa"/>
            <w:tcBorders>
              <w:top w:val="nil"/>
              <w:left w:val="nil"/>
              <w:bottom w:val="single" w:color="auto"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w:t>
            </w:r>
          </w:p>
        </w:tc>
        <w:tc>
          <w:tcPr>
            <w:tcW w:w="1098"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w:t>
            </w:r>
          </w:p>
        </w:tc>
        <w:tc>
          <w:tcPr>
            <w:tcW w:w="1143"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8</w:t>
            </w: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9</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10</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11</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12</w:t>
            </w:r>
          </w:p>
        </w:tc>
      </w:tr>
      <w:tr>
        <w:tblPrEx>
          <w:tblCellMar>
            <w:top w:w="0" w:type="dxa"/>
            <w:left w:w="108" w:type="dxa"/>
            <w:bottom w:w="0" w:type="dxa"/>
            <w:right w:w="108" w:type="dxa"/>
          </w:tblCellMar>
        </w:tblPrEx>
        <w:trPr>
          <w:trHeight w:val="1296" w:hRule="atLeast"/>
          <w:jc w:val="center"/>
        </w:trPr>
        <w:tc>
          <w:tcPr>
            <w:tcW w:w="1179" w:type="dxa"/>
            <w:tcBorders>
              <w:top w:val="nil"/>
              <w:left w:val="single" w:color="auto" w:sz="8" w:space="0"/>
              <w:bottom w:val="single" w:color="auto" w:sz="8"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w:t>
            </w:r>
            <w:r>
              <w:rPr>
                <w:rFonts w:ascii="仿宋_GB2312" w:hAnsi="宋体" w:eastAsia="仿宋_GB2312" w:cs="宋体"/>
                <w:kern w:val="0"/>
                <w:sz w:val="22"/>
                <w:szCs w:val="22"/>
              </w:rPr>
              <w:t>.9</w:t>
            </w:r>
          </w:p>
        </w:tc>
        <w:tc>
          <w:tcPr>
            <w:tcW w:w="1195" w:type="dxa"/>
            <w:tcBorders>
              <w:top w:val="nil"/>
              <w:left w:val="nil"/>
              <w:bottom w:val="single" w:color="auto" w:sz="8"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r>
              <w:rPr>
                <w:rFonts w:ascii="仿宋_GB2312" w:hAnsi="宋体" w:eastAsia="仿宋_GB2312" w:cs="宋体"/>
                <w:kern w:val="0"/>
                <w:sz w:val="22"/>
                <w:szCs w:val="22"/>
              </w:rPr>
              <w:t>.8</w:t>
            </w:r>
          </w:p>
        </w:tc>
        <w:tc>
          <w:tcPr>
            <w:tcW w:w="1180" w:type="dxa"/>
            <w:tcBorders>
              <w:top w:val="nil"/>
              <w:left w:val="nil"/>
              <w:bottom w:val="single" w:color="auto" w:sz="8"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r>
              <w:rPr>
                <w:rFonts w:ascii="仿宋_GB2312" w:hAnsi="宋体" w:eastAsia="仿宋_GB2312" w:cs="宋体"/>
                <w:kern w:val="0"/>
                <w:sz w:val="22"/>
                <w:szCs w:val="22"/>
              </w:rPr>
              <w:t>.6</w:t>
            </w:r>
          </w:p>
        </w:tc>
        <w:tc>
          <w:tcPr>
            <w:tcW w:w="1180" w:type="dxa"/>
            <w:tcBorders>
              <w:top w:val="nil"/>
              <w:left w:val="nil"/>
              <w:bottom w:val="single" w:color="auto" w:sz="8"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272" w:type="dxa"/>
            <w:tcBorders>
              <w:top w:val="nil"/>
              <w:left w:val="nil"/>
              <w:bottom w:val="single" w:color="auto" w:sz="8"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r>
              <w:rPr>
                <w:rFonts w:ascii="仿宋_GB2312" w:hAnsi="宋体" w:eastAsia="仿宋_GB2312" w:cs="宋体"/>
                <w:kern w:val="0"/>
                <w:sz w:val="22"/>
                <w:szCs w:val="22"/>
              </w:rPr>
              <w:t>.6</w:t>
            </w:r>
          </w:p>
        </w:tc>
        <w:tc>
          <w:tcPr>
            <w:tcW w:w="878" w:type="dxa"/>
            <w:tcBorders>
              <w:top w:val="nil"/>
              <w:left w:val="nil"/>
              <w:bottom w:val="single" w:color="auto"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0</w:t>
            </w:r>
            <w:r>
              <w:rPr>
                <w:rFonts w:ascii="仿宋_GB2312" w:hAnsi="宋体" w:eastAsia="仿宋_GB2312" w:cs="宋体"/>
                <w:kern w:val="0"/>
                <w:sz w:val="22"/>
                <w:szCs w:val="22"/>
              </w:rPr>
              <w:t>.5</w:t>
            </w:r>
          </w:p>
        </w:tc>
        <w:tc>
          <w:tcPr>
            <w:tcW w:w="1098"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0</w:t>
            </w:r>
            <w:r>
              <w:rPr>
                <w:rFonts w:ascii="仿宋_GB2312" w:hAnsi="宋体" w:eastAsia="仿宋_GB2312" w:cs="宋体"/>
                <w:kern w:val="0"/>
                <w:sz w:val="22"/>
                <w:szCs w:val="22"/>
              </w:rPr>
              <w:t>.19</w:t>
            </w:r>
          </w:p>
        </w:tc>
        <w:tc>
          <w:tcPr>
            <w:tcW w:w="1143"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0</w:t>
            </w:r>
            <w:r>
              <w:rPr>
                <w:rFonts w:ascii="仿宋_GB2312" w:hAnsi="宋体" w:eastAsia="仿宋_GB2312" w:cs="宋体"/>
                <w:kern w:val="0"/>
                <w:sz w:val="22"/>
                <w:szCs w:val="22"/>
              </w:rPr>
              <w:t>.19</w:t>
            </w:r>
          </w:p>
        </w:tc>
      </w:tr>
    </w:tbl>
    <w:p>
      <w:pPr>
        <w:spacing w:line="360" w:lineRule="exact"/>
        <w:ind w:firstLine="108" w:firstLineChars="50"/>
        <w:rPr>
          <w:rFonts w:hint="eastAsia" w:ascii="仿宋_GB2312" w:hAnsi="宋体" w:eastAsia="仿宋_GB2312"/>
          <w:sz w:val="22"/>
          <w:szCs w:val="22"/>
        </w:rPr>
      </w:pPr>
      <w:r>
        <w:rPr>
          <w:rFonts w:hint="eastAsia" w:ascii="仿宋_GB2312" w:hAnsi="宋体" w:eastAsia="仿宋_GB2312"/>
          <w:sz w:val="22"/>
          <w:szCs w:val="22"/>
        </w:rPr>
        <w:t>注：本表反映单位本年度“三公”经费支出预决算情况。其中，预算数为“三公”经费年初预算数；决算数是包括当年一般公共预算财政拨款和以前年度结转资金安排的实际支出。</w:t>
      </w:r>
    </w:p>
    <w:p>
      <w:pPr>
        <w:spacing w:line="440" w:lineRule="exact"/>
        <w:ind w:firstLine="108" w:firstLineChars="50"/>
        <w:rPr>
          <w:rFonts w:hint="eastAsia" w:ascii="仿宋_GB2312" w:hAnsi="宋体" w:eastAsia="仿宋_GB2312"/>
          <w:sz w:val="22"/>
          <w:szCs w:val="22"/>
        </w:rPr>
      </w:pPr>
    </w:p>
    <w:p>
      <w:pPr>
        <w:ind w:firstLine="108" w:firstLineChars="50"/>
        <w:rPr>
          <w:rFonts w:ascii="仿宋_GB2312" w:hAnsi="宋体" w:eastAsia="仿宋_GB2312"/>
          <w:sz w:val="22"/>
          <w:szCs w:val="22"/>
        </w:rPr>
      </w:pPr>
    </w:p>
    <w:p>
      <w:pPr>
        <w:jc w:val="center"/>
        <w:rPr>
          <w:rFonts w:ascii="方正小标宋简体" w:eastAsia="方正小标宋简体"/>
          <w:sz w:val="44"/>
          <w:szCs w:val="44"/>
        </w:rPr>
      </w:pPr>
      <w:r>
        <w:rPr>
          <w:rFonts w:hint="eastAsia" w:ascii="方正小标宋简体" w:eastAsia="方正小标宋简体"/>
          <w:sz w:val="44"/>
          <w:szCs w:val="44"/>
        </w:rPr>
        <w:t>政府性基金预算财政拨款收入支出决算表</w:t>
      </w:r>
    </w:p>
    <w:p>
      <w:pPr>
        <w:spacing w:line="400" w:lineRule="exact"/>
        <w:jc w:val="right"/>
        <w:rPr>
          <w:rFonts w:hint="eastAsia" w:ascii="楷体_GB2312" w:eastAsia="楷体_GB2312"/>
          <w:sz w:val="28"/>
          <w:szCs w:val="28"/>
        </w:rPr>
      </w:pPr>
      <w:r>
        <w:rPr>
          <w:rFonts w:hint="eastAsia" w:ascii="楷体_GB2312" w:eastAsia="楷体_GB2312"/>
          <w:sz w:val="28"/>
          <w:szCs w:val="28"/>
        </w:rPr>
        <w:t>公开08表</w:t>
      </w:r>
    </w:p>
    <w:p>
      <w:pPr>
        <w:spacing w:line="400" w:lineRule="exact"/>
        <w:ind w:firstLine="138" w:firstLineChars="50"/>
        <w:jc w:val="right"/>
        <w:rPr>
          <w:rFonts w:hint="eastAsia" w:ascii="楷体_GB2312" w:eastAsia="楷体_GB2312"/>
          <w:sz w:val="28"/>
          <w:szCs w:val="28"/>
        </w:rPr>
      </w:pPr>
      <w:r>
        <w:rPr>
          <w:rFonts w:hint="eastAsia" w:ascii="楷体_GB2312" w:eastAsia="楷体_GB2312"/>
          <w:sz w:val="28"/>
          <w:szCs w:val="28"/>
        </w:rPr>
        <w:t>单位：青岛市标准化研究院                                                          金额单位：万元</w:t>
      </w:r>
    </w:p>
    <w:tbl>
      <w:tblPr>
        <w:tblStyle w:val="11"/>
        <w:tblpPr w:leftFromText="180" w:rightFromText="180" w:vertAnchor="text" w:tblpXSpec="center" w:tblpY="1"/>
        <w:tblOverlap w:val="never"/>
        <w:tblW w:w="0" w:type="auto"/>
        <w:tblInd w:w="0" w:type="dxa"/>
        <w:tblLayout w:type="fixed"/>
        <w:tblCellMar>
          <w:top w:w="0" w:type="dxa"/>
          <w:left w:w="108" w:type="dxa"/>
          <w:bottom w:w="0" w:type="dxa"/>
          <w:right w:w="108" w:type="dxa"/>
        </w:tblCellMar>
      </w:tblPr>
      <w:tblGrid>
        <w:gridCol w:w="1372"/>
        <w:gridCol w:w="56"/>
        <w:gridCol w:w="1429"/>
        <w:gridCol w:w="1731"/>
        <w:gridCol w:w="1707"/>
        <w:gridCol w:w="1708"/>
        <w:gridCol w:w="1708"/>
        <w:gridCol w:w="1708"/>
        <w:gridCol w:w="1791"/>
      </w:tblGrid>
      <w:tr>
        <w:tblPrEx>
          <w:tblCellMar>
            <w:top w:w="0" w:type="dxa"/>
            <w:left w:w="108" w:type="dxa"/>
            <w:bottom w:w="0" w:type="dxa"/>
            <w:right w:w="108" w:type="dxa"/>
          </w:tblCellMar>
        </w:tblPrEx>
        <w:trPr>
          <w:trHeight w:val="453"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173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年初结转和结余</w:t>
            </w:r>
          </w:p>
        </w:tc>
        <w:tc>
          <w:tcPr>
            <w:tcW w:w="1707" w:type="dxa"/>
            <w:vMerge w:val="restart"/>
            <w:tcBorders>
              <w:top w:val="single" w:color="auto" w:sz="4" w:space="0"/>
              <w:left w:val="nil"/>
              <w:right w:val="single" w:color="auto" w:sz="4"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本年收入</w:t>
            </w:r>
          </w:p>
        </w:tc>
        <w:tc>
          <w:tcPr>
            <w:tcW w:w="512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本年支出</w:t>
            </w:r>
          </w:p>
        </w:tc>
        <w:tc>
          <w:tcPr>
            <w:tcW w:w="1791" w:type="dxa"/>
            <w:vMerge w:val="restart"/>
            <w:tcBorders>
              <w:top w:val="single" w:color="auto" w:sz="4" w:space="0"/>
              <w:left w:val="nil"/>
              <w:right w:val="single" w:color="auto" w:sz="4"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年末结转和结余</w:t>
            </w:r>
          </w:p>
        </w:tc>
      </w:tr>
      <w:tr>
        <w:tblPrEx>
          <w:tblCellMar>
            <w:top w:w="0" w:type="dxa"/>
            <w:left w:w="108" w:type="dxa"/>
            <w:bottom w:w="0" w:type="dxa"/>
            <w:right w:w="108" w:type="dxa"/>
          </w:tblCellMar>
        </w:tblPrEx>
        <w:trPr>
          <w:trHeight w:val="599" w:hRule="atLeast"/>
        </w:trPr>
        <w:tc>
          <w:tcPr>
            <w:tcW w:w="142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  科目编码</w:t>
            </w:r>
          </w:p>
        </w:tc>
        <w:tc>
          <w:tcPr>
            <w:tcW w:w="14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173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p>
        </w:tc>
        <w:tc>
          <w:tcPr>
            <w:tcW w:w="1707" w:type="dxa"/>
            <w:vMerge w:val="continue"/>
            <w:tcBorders>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22"/>
                <w:szCs w:val="22"/>
              </w:rPr>
            </w:pP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1708"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项目支出</w:t>
            </w:r>
          </w:p>
        </w:tc>
        <w:tc>
          <w:tcPr>
            <w:tcW w:w="1791" w:type="dxa"/>
            <w:vMerge w:val="continue"/>
            <w:tcBorders>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w:t>
            </w: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173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无</w:t>
            </w:r>
          </w:p>
        </w:tc>
        <w:tc>
          <w:tcPr>
            <w:tcW w:w="1707"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无</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无</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无</w:t>
            </w:r>
          </w:p>
        </w:tc>
        <w:tc>
          <w:tcPr>
            <w:tcW w:w="170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无</w:t>
            </w:r>
          </w:p>
        </w:tc>
        <w:tc>
          <w:tcPr>
            <w:tcW w:w="17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无</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single" w:color="auto" w:sz="4" w:space="0"/>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bl>
    <w:p>
      <w:pPr>
        <w:ind w:firstLine="108" w:firstLineChars="50"/>
        <w:rPr>
          <w:rFonts w:hint="eastAsia" w:ascii="仿宋_GB2312" w:hAnsi="宋体" w:eastAsia="仿宋_GB2312"/>
          <w:sz w:val="22"/>
          <w:szCs w:val="22"/>
          <w:lang w:eastAsia="zh-CN"/>
        </w:rPr>
        <w:sectPr>
          <w:pgSz w:w="16838" w:h="11906" w:orient="landscape"/>
          <w:pgMar w:top="1531" w:right="1701" w:bottom="1531" w:left="1701" w:header="0" w:footer="1418" w:gutter="0"/>
          <w:cols w:space="720" w:num="1"/>
          <w:docGrid w:type="linesAndChars" w:linePitch="610" w:charSpace="-849"/>
        </w:sectPr>
      </w:pPr>
      <w:r>
        <w:rPr>
          <w:rFonts w:hint="eastAsia" w:ascii="仿宋_GB2312" w:hAnsi="宋体" w:eastAsia="仿宋_GB2312"/>
          <w:sz w:val="22"/>
          <w:szCs w:val="22"/>
        </w:rPr>
        <w:t>注：本表反映单位本年度政府性基金预算财政拨款收入、支出及结转和结余情况</w:t>
      </w:r>
      <w:r>
        <w:rPr>
          <w:rFonts w:hint="eastAsia" w:ascii="仿宋_GB2312" w:hAnsi="宋体" w:eastAsia="仿宋_GB2312"/>
          <w:sz w:val="22"/>
          <w:szCs w:val="22"/>
          <w:lang w:eastAsia="zh-CN"/>
        </w:rPr>
        <w:t>；</w:t>
      </w:r>
      <w:r>
        <w:rPr>
          <w:rFonts w:hint="eastAsia" w:ascii="仿宋_GB2312" w:hAnsi="宋体" w:eastAsia="仿宋_GB2312"/>
          <w:sz w:val="22"/>
          <w:szCs w:val="22"/>
        </w:rPr>
        <w:t>本单位没有政府性基金收入，也没有使用政府性基金安排的支出，故本表无数据</w:t>
      </w:r>
      <w:r>
        <w:rPr>
          <w:rFonts w:hint="eastAsia" w:ascii="仿宋_GB2312" w:hAnsi="宋体" w:eastAsia="仿宋_GB2312"/>
          <w:sz w:val="22"/>
          <w:szCs w:val="22"/>
          <w:lang w:eastAsia="zh-CN"/>
        </w:rPr>
        <w:t>。</w:t>
      </w:r>
    </w:p>
    <w:p>
      <w:pPr>
        <w:jc w:val="center"/>
        <w:rPr>
          <w:rFonts w:hint="eastAsia" w:ascii="方正小标宋简体" w:eastAsia="方正小标宋简体"/>
          <w:sz w:val="32"/>
          <w:szCs w:val="32"/>
        </w:rPr>
      </w:pPr>
      <w:r>
        <w:rPr>
          <w:rFonts w:hint="eastAsia" w:ascii="方正小标宋简体" w:eastAsia="方正小标宋简体"/>
          <w:sz w:val="44"/>
          <w:szCs w:val="44"/>
        </w:rPr>
        <w:t>国有资本经营预算财政拨款支出决算表</w:t>
      </w:r>
    </w:p>
    <w:p>
      <w:pPr>
        <w:spacing w:line="400" w:lineRule="exact"/>
        <w:jc w:val="right"/>
        <w:rPr>
          <w:rFonts w:hint="eastAsia" w:ascii="楷体_GB2312" w:eastAsia="楷体_GB2312"/>
          <w:sz w:val="28"/>
          <w:szCs w:val="28"/>
        </w:rPr>
      </w:pPr>
      <w:r>
        <w:rPr>
          <w:rFonts w:hint="eastAsia" w:ascii="楷体_GB2312" w:eastAsia="楷体_GB2312"/>
          <w:sz w:val="32"/>
          <w:szCs w:val="32"/>
        </w:rPr>
        <w:t>公</w:t>
      </w:r>
      <w:r>
        <w:rPr>
          <w:rFonts w:hint="eastAsia" w:ascii="楷体_GB2312" w:eastAsia="楷体_GB2312"/>
          <w:sz w:val="28"/>
          <w:szCs w:val="28"/>
        </w:rPr>
        <w:t>开09表</w:t>
      </w:r>
    </w:p>
    <w:p>
      <w:pPr>
        <w:wordWrap w:val="0"/>
        <w:spacing w:line="400" w:lineRule="exact"/>
        <w:ind w:firstLine="138" w:firstLineChars="50"/>
        <w:jc w:val="right"/>
        <w:rPr>
          <w:rFonts w:hint="eastAsia" w:ascii="楷体_GB2312" w:eastAsia="楷体_GB2312"/>
          <w:sz w:val="28"/>
          <w:szCs w:val="28"/>
        </w:rPr>
      </w:pPr>
      <w:r>
        <w:rPr>
          <w:rFonts w:hint="eastAsia" w:ascii="楷体_GB2312" w:eastAsia="楷体_GB2312"/>
          <w:sz w:val="28"/>
          <w:szCs w:val="28"/>
        </w:rPr>
        <w:t>单位：青岛市标准化研究院                                                          金额单位：万元</w:t>
      </w:r>
    </w:p>
    <w:tbl>
      <w:tblPr>
        <w:tblStyle w:val="11"/>
        <w:tblW w:w="0" w:type="auto"/>
        <w:jc w:val="center"/>
        <w:tblLayout w:type="fixed"/>
        <w:tblCellMar>
          <w:top w:w="0" w:type="dxa"/>
          <w:left w:w="108" w:type="dxa"/>
          <w:bottom w:w="0" w:type="dxa"/>
          <w:right w:w="108" w:type="dxa"/>
        </w:tblCellMar>
      </w:tblPr>
      <w:tblGrid>
        <w:gridCol w:w="1701"/>
        <w:gridCol w:w="3170"/>
        <w:gridCol w:w="2783"/>
        <w:gridCol w:w="2978"/>
        <w:gridCol w:w="2520"/>
      </w:tblGrid>
      <w:tr>
        <w:tblPrEx>
          <w:tblCellMar>
            <w:top w:w="0" w:type="dxa"/>
            <w:left w:w="108" w:type="dxa"/>
            <w:bottom w:w="0" w:type="dxa"/>
            <w:right w:w="108" w:type="dxa"/>
          </w:tblCellMar>
        </w:tblPrEx>
        <w:trPr>
          <w:trHeight w:val="428" w:hRule="atLeas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828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本年支出</w:t>
            </w:r>
          </w:p>
        </w:tc>
      </w:tr>
      <w:tr>
        <w:tblPrEx>
          <w:tblCellMar>
            <w:top w:w="0" w:type="dxa"/>
            <w:left w:w="108" w:type="dxa"/>
            <w:bottom w:w="0" w:type="dxa"/>
            <w:right w:w="108" w:type="dxa"/>
          </w:tblCellMar>
        </w:tblPrEx>
        <w:trPr>
          <w:trHeight w:val="675" w:hRule="exact"/>
          <w:jc w:val="center"/>
        </w:trPr>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功能分类</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科目编码</w:t>
            </w:r>
          </w:p>
        </w:tc>
        <w:tc>
          <w:tcPr>
            <w:tcW w:w="31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27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项目支出</w:t>
            </w:r>
          </w:p>
        </w:tc>
      </w:tr>
      <w:tr>
        <w:tblPrEx>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r>
      <w:tr>
        <w:tblPrEx>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27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无</w:t>
            </w:r>
          </w:p>
        </w:tc>
        <w:tc>
          <w:tcPr>
            <w:tcW w:w="297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无</w:t>
            </w:r>
          </w:p>
        </w:tc>
        <w:tc>
          <w:tcPr>
            <w:tcW w:w="2520"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无</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bl>
    <w:p>
      <w:pPr>
        <w:spacing w:line="400" w:lineRule="exact"/>
        <w:ind w:firstLine="108" w:firstLineChars="50"/>
        <w:jc w:val="left"/>
        <w:rPr>
          <w:rFonts w:hint="eastAsia" w:ascii="仿宋_GB2312" w:hAnsi="宋体" w:eastAsia="仿宋_GB2312"/>
          <w:sz w:val="22"/>
          <w:szCs w:val="22"/>
          <w:lang w:eastAsia="zh-CN"/>
        </w:rPr>
        <w:sectPr>
          <w:pgSz w:w="16838" w:h="11906" w:orient="landscape"/>
          <w:pgMar w:top="851" w:right="1701" w:bottom="567" w:left="1701" w:header="0" w:footer="1418" w:gutter="0"/>
          <w:cols w:space="720" w:num="1"/>
          <w:docGrid w:type="linesAndChars" w:linePitch="610" w:charSpace="-849"/>
        </w:sectPr>
      </w:pPr>
      <w:r>
        <w:rPr>
          <w:rFonts w:hint="eastAsia" w:ascii="仿宋_GB2312" w:hAnsi="宋体" w:eastAsia="仿宋_GB2312"/>
          <w:sz w:val="22"/>
          <w:szCs w:val="22"/>
        </w:rPr>
        <w:t>注：本表反映单位本年度国有资本经营预算财政拨款支出情况</w:t>
      </w:r>
      <w:r>
        <w:rPr>
          <w:rFonts w:hint="eastAsia" w:ascii="仿宋_GB2312" w:hAnsi="宋体" w:eastAsia="仿宋_GB2312"/>
          <w:sz w:val="22"/>
          <w:szCs w:val="22"/>
          <w:lang w:eastAsia="zh-CN"/>
        </w:rPr>
        <w:t>；</w:t>
      </w:r>
      <w:r>
        <w:rPr>
          <w:rFonts w:hint="eastAsia" w:ascii="仿宋_GB2312" w:hAnsi="宋体" w:eastAsia="仿宋_GB2312"/>
          <w:sz w:val="22"/>
          <w:szCs w:val="22"/>
        </w:rPr>
        <w:t>本单位没有使用国有资本经营预算安排的支出，故本表无数据</w:t>
      </w:r>
      <w:r>
        <w:rPr>
          <w:rFonts w:hint="eastAsia" w:ascii="仿宋_GB2312" w:hAnsi="宋体" w:eastAsia="仿宋_GB2312"/>
          <w:sz w:val="22"/>
          <w:szCs w:val="22"/>
          <w:lang w:eastAsia="zh-CN"/>
        </w:rPr>
        <w:t>。</w:t>
      </w:r>
    </w:p>
    <w:p>
      <w:pPr>
        <w:rPr>
          <w:rFonts w:hint="eastAsia" w:ascii="方正小标宋简体" w:eastAsia="方正小标宋简体"/>
          <w:sz w:val="44"/>
          <w:szCs w:val="44"/>
        </w:rPr>
      </w:pPr>
    </w:p>
    <w:p>
      <w:pPr>
        <w:rPr>
          <w:rFonts w:hint="eastAsia" w:ascii="方正小标宋简体" w:eastAsia="方正小标宋简体"/>
          <w:sz w:val="44"/>
          <w:szCs w:val="44"/>
        </w:rPr>
      </w:pPr>
    </w:p>
    <w:p>
      <w:pPr>
        <w:rPr>
          <w:rFonts w:hint="eastAsia" w:ascii="仿宋_GB2312" w:hAnsi="宋体" w:eastAsia="仿宋_GB2312"/>
          <w:sz w:val="22"/>
          <w:szCs w:val="22"/>
        </w:rPr>
      </w:pPr>
      <w:r>
        <w:rPr>
          <w:rFonts w:hint="eastAsia" w:ascii="黑体" w:eastAsia="黑体"/>
          <w:sz w:val="52"/>
          <w:szCs w:val="52"/>
        </w:rPr>
        <w:t xml:space="preserve">  第三部分</w:t>
      </w:r>
    </w:p>
    <w:p>
      <w:pPr>
        <w:rPr>
          <w:rFonts w:hint="eastAsia" w:ascii="黑体" w:eastAsia="黑体"/>
          <w:sz w:val="52"/>
          <w:szCs w:val="52"/>
        </w:rPr>
      </w:pPr>
    </w:p>
    <w:p>
      <w:pPr>
        <w:ind w:left="274" w:leftChars="8" w:hanging="258" w:hangingChars="50"/>
        <w:jc w:val="center"/>
        <w:rPr>
          <w:rFonts w:hint="eastAsia" w:ascii="黑体" w:eastAsia="黑体"/>
          <w:sz w:val="52"/>
          <w:szCs w:val="52"/>
        </w:rPr>
      </w:pPr>
      <w:r>
        <w:rPr>
          <w:rFonts w:hint="eastAsia" w:ascii="黑体" w:eastAsia="黑体"/>
          <w:sz w:val="52"/>
          <w:szCs w:val="52"/>
        </w:rPr>
        <w:t>2020</w:t>
      </w:r>
      <w:r>
        <w:rPr>
          <w:rFonts w:hint="eastAsia" w:ascii="黑体" w:eastAsia="黑体"/>
          <w:sz w:val="52"/>
          <w:szCs w:val="52"/>
          <w:lang w:eastAsia="zh-CN"/>
        </w:rPr>
        <w:t>年</w:t>
      </w:r>
      <w:bookmarkStart w:id="2" w:name="_GoBack"/>
      <w:bookmarkEnd w:id="2"/>
      <w:r>
        <w:rPr>
          <w:rFonts w:hint="eastAsia" w:ascii="黑体" w:eastAsia="黑体"/>
          <w:sz w:val="52"/>
          <w:szCs w:val="52"/>
        </w:rPr>
        <w:t>度单位决算情况说明</w:t>
      </w:r>
    </w:p>
    <w:p>
      <w:pPr>
        <w:spacing w:line="560" w:lineRule="exact"/>
        <w:ind w:firstLine="632" w:firstLineChars="200"/>
        <w:rPr>
          <w:rFonts w:hint="eastAsia" w:ascii="黑体" w:hAnsi="黑体" w:eastAsia="黑体"/>
          <w:sz w:val="32"/>
          <w:szCs w:val="32"/>
        </w:rPr>
      </w:pPr>
    </w:p>
    <w:p>
      <w:pPr>
        <w:spacing w:line="560" w:lineRule="exact"/>
        <w:ind w:firstLine="632" w:firstLineChars="200"/>
        <w:rPr>
          <w:rFonts w:hint="eastAsia" w:ascii="黑体" w:hAnsi="黑体" w:eastAsia="黑体"/>
          <w:sz w:val="32"/>
          <w:szCs w:val="32"/>
        </w:rPr>
      </w:pPr>
    </w:p>
    <w:p>
      <w:pPr>
        <w:spacing w:line="560" w:lineRule="exact"/>
        <w:ind w:firstLine="632" w:firstLineChars="200"/>
        <w:rPr>
          <w:rFonts w:hint="eastAsia" w:ascii="黑体" w:hAnsi="黑体" w:eastAsia="黑体"/>
          <w:sz w:val="32"/>
          <w:szCs w:val="32"/>
        </w:rPr>
      </w:pPr>
    </w:p>
    <w:p>
      <w:pPr>
        <w:spacing w:line="560" w:lineRule="exact"/>
        <w:ind w:firstLine="632" w:firstLineChars="200"/>
        <w:rPr>
          <w:rFonts w:hint="eastAsia" w:ascii="黑体" w:hAnsi="黑体" w:eastAsia="黑体"/>
          <w:sz w:val="32"/>
          <w:szCs w:val="32"/>
        </w:rPr>
      </w:pPr>
    </w:p>
    <w:p>
      <w:pPr>
        <w:spacing w:line="560" w:lineRule="exact"/>
        <w:ind w:firstLine="632" w:firstLineChars="200"/>
        <w:rPr>
          <w:rFonts w:hint="eastAsia" w:ascii="黑体" w:hAnsi="黑体" w:eastAsia="黑体"/>
          <w:sz w:val="32"/>
          <w:szCs w:val="32"/>
        </w:rPr>
      </w:pPr>
    </w:p>
    <w:p>
      <w:pPr>
        <w:spacing w:line="560" w:lineRule="exact"/>
        <w:ind w:firstLine="632" w:firstLineChars="200"/>
        <w:rPr>
          <w:rFonts w:hint="eastAsia" w:ascii="黑体" w:hAnsi="黑体" w:eastAsia="黑体"/>
          <w:sz w:val="32"/>
          <w:szCs w:val="32"/>
        </w:rPr>
      </w:pPr>
    </w:p>
    <w:p>
      <w:pPr>
        <w:spacing w:line="560" w:lineRule="exact"/>
        <w:ind w:firstLine="632" w:firstLineChars="200"/>
        <w:rPr>
          <w:rFonts w:hint="eastAsia" w:ascii="黑体" w:hAnsi="黑体" w:eastAsia="黑体"/>
          <w:sz w:val="32"/>
          <w:szCs w:val="32"/>
        </w:rPr>
      </w:pPr>
    </w:p>
    <w:p>
      <w:pPr>
        <w:spacing w:line="560" w:lineRule="exact"/>
        <w:ind w:firstLine="632" w:firstLineChars="200"/>
        <w:rPr>
          <w:rFonts w:hint="eastAsia" w:ascii="黑体" w:hAnsi="黑体" w:eastAsia="黑体"/>
          <w:sz w:val="32"/>
          <w:szCs w:val="32"/>
        </w:rPr>
      </w:pPr>
    </w:p>
    <w:p>
      <w:pPr>
        <w:spacing w:line="560" w:lineRule="exact"/>
        <w:ind w:firstLine="632" w:firstLineChars="200"/>
        <w:rPr>
          <w:rFonts w:hint="eastAsia" w:ascii="黑体" w:hAnsi="黑体" w:eastAsia="黑体"/>
          <w:sz w:val="32"/>
          <w:szCs w:val="32"/>
        </w:rPr>
      </w:pPr>
    </w:p>
    <w:p>
      <w:pPr>
        <w:spacing w:line="560" w:lineRule="exact"/>
        <w:ind w:firstLine="632" w:firstLineChars="200"/>
        <w:rPr>
          <w:rFonts w:hint="eastAsia" w:ascii="黑体" w:hAnsi="黑体" w:eastAsia="黑体"/>
          <w:sz w:val="32"/>
          <w:szCs w:val="32"/>
        </w:rPr>
      </w:pPr>
    </w:p>
    <w:p>
      <w:pPr>
        <w:spacing w:line="560" w:lineRule="exact"/>
        <w:ind w:firstLine="632" w:firstLineChars="200"/>
        <w:rPr>
          <w:rFonts w:hint="eastAsia" w:ascii="黑体" w:hAnsi="黑体" w:eastAsia="黑体"/>
          <w:sz w:val="32"/>
          <w:szCs w:val="32"/>
        </w:rPr>
      </w:pPr>
    </w:p>
    <w:p>
      <w:pPr>
        <w:spacing w:line="560" w:lineRule="exact"/>
        <w:ind w:firstLine="632" w:firstLineChars="200"/>
        <w:rPr>
          <w:rFonts w:hint="eastAsia" w:ascii="黑体" w:hAnsi="黑体" w:eastAsia="黑体"/>
          <w:sz w:val="32"/>
          <w:szCs w:val="32"/>
        </w:rPr>
      </w:pPr>
    </w:p>
    <w:p>
      <w:pPr>
        <w:spacing w:line="560" w:lineRule="exact"/>
        <w:ind w:firstLine="632" w:firstLineChars="200"/>
        <w:rPr>
          <w:rFonts w:hint="eastAsia" w:ascii="黑体" w:hAnsi="黑体" w:eastAsia="黑体"/>
          <w:sz w:val="32"/>
          <w:szCs w:val="32"/>
        </w:rPr>
      </w:pPr>
    </w:p>
    <w:p>
      <w:pPr>
        <w:spacing w:line="560" w:lineRule="exact"/>
        <w:ind w:firstLine="632" w:firstLineChars="200"/>
        <w:rPr>
          <w:rFonts w:hint="eastAsia" w:ascii="黑体" w:hAnsi="黑体" w:eastAsia="黑体"/>
          <w:sz w:val="32"/>
          <w:szCs w:val="32"/>
        </w:rPr>
      </w:pPr>
      <w:r>
        <w:rPr>
          <w:rFonts w:hint="eastAsia" w:ascii="黑体" w:hAnsi="黑体" w:eastAsia="黑体"/>
          <w:sz w:val="32"/>
          <w:szCs w:val="32"/>
        </w:rPr>
        <w:t>一、2020年度收入支出决算情况说明</w:t>
      </w:r>
    </w:p>
    <w:p>
      <w:pPr>
        <w:spacing w:line="560" w:lineRule="exact"/>
        <w:ind w:firstLine="632" w:firstLineChars="200"/>
        <w:rPr>
          <w:rFonts w:hint="eastAsia" w:ascii="楷体_GB2312" w:eastAsia="楷体_GB2312"/>
          <w:sz w:val="32"/>
          <w:szCs w:val="32"/>
        </w:rPr>
      </w:pPr>
      <w:r>
        <w:rPr>
          <w:rFonts w:hint="eastAsia" w:ascii="楷体_GB2312" w:eastAsia="楷体_GB2312"/>
          <w:sz w:val="32"/>
          <w:szCs w:val="32"/>
        </w:rPr>
        <w:t>（一）收入支出决算总体情况</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2020年度收、支总计</w:t>
      </w:r>
      <w:r>
        <w:rPr>
          <w:rFonts w:ascii="仿宋_GB2312" w:eastAsia="仿宋_GB2312"/>
          <w:sz w:val="32"/>
          <w:szCs w:val="32"/>
        </w:rPr>
        <w:t>1462.98</w:t>
      </w:r>
      <w:r>
        <w:rPr>
          <w:rFonts w:hint="eastAsia" w:ascii="仿宋_GB2312" w:eastAsia="仿宋_GB2312"/>
          <w:sz w:val="32"/>
          <w:szCs w:val="32"/>
        </w:rPr>
        <w:t>万元。与2019年度相比，收、支总计各减少4</w:t>
      </w:r>
      <w:r>
        <w:rPr>
          <w:rFonts w:ascii="仿宋_GB2312" w:eastAsia="仿宋_GB2312"/>
          <w:sz w:val="32"/>
          <w:szCs w:val="32"/>
        </w:rPr>
        <w:t>27.82</w:t>
      </w:r>
      <w:r>
        <w:rPr>
          <w:rFonts w:hint="eastAsia" w:ascii="仿宋_GB2312" w:eastAsia="仿宋_GB2312"/>
          <w:sz w:val="32"/>
          <w:szCs w:val="32"/>
        </w:rPr>
        <w:t>万元，下降2</w:t>
      </w:r>
      <w:r>
        <w:rPr>
          <w:rFonts w:ascii="仿宋_GB2312" w:eastAsia="仿宋_GB2312"/>
          <w:sz w:val="32"/>
          <w:szCs w:val="32"/>
        </w:rPr>
        <w:t>2.6</w:t>
      </w:r>
      <w:r>
        <w:rPr>
          <w:rFonts w:hint="eastAsia" w:ascii="仿宋_GB2312" w:eastAsia="仿宋_GB2312"/>
          <w:sz w:val="32"/>
          <w:szCs w:val="32"/>
          <w:lang w:val="en-US" w:eastAsia="zh-CN"/>
        </w:rPr>
        <w:t>3</w:t>
      </w:r>
      <w:r>
        <w:rPr>
          <w:rFonts w:hint="eastAsia" w:ascii="仿宋_GB2312" w:eastAsia="仿宋_GB2312"/>
          <w:sz w:val="32"/>
          <w:szCs w:val="32"/>
        </w:rPr>
        <w:t>%。主要是2</w:t>
      </w:r>
      <w:r>
        <w:rPr>
          <w:rFonts w:ascii="仿宋_GB2312" w:eastAsia="仿宋_GB2312"/>
          <w:sz w:val="32"/>
          <w:szCs w:val="32"/>
        </w:rPr>
        <w:t>019</w:t>
      </w:r>
      <w:r>
        <w:rPr>
          <w:rFonts w:hint="eastAsia" w:ascii="仿宋_GB2312" w:eastAsia="仿宋_GB2312"/>
          <w:sz w:val="32"/>
          <w:szCs w:val="32"/>
        </w:rPr>
        <w:t>年承接青岛国家标准化论坛会议服务任务，收到会展业专项经费6</w:t>
      </w:r>
      <w:r>
        <w:rPr>
          <w:rFonts w:ascii="仿宋_GB2312" w:eastAsia="仿宋_GB2312"/>
          <w:sz w:val="32"/>
          <w:szCs w:val="32"/>
        </w:rPr>
        <w:t>15.72</w:t>
      </w:r>
      <w:r>
        <w:rPr>
          <w:rFonts w:hint="eastAsia" w:ascii="仿宋_GB2312" w:eastAsia="仿宋_GB2312"/>
          <w:sz w:val="32"/>
          <w:szCs w:val="32"/>
        </w:rPr>
        <w:t>万元，2</w:t>
      </w:r>
      <w:r>
        <w:rPr>
          <w:rFonts w:ascii="仿宋_GB2312" w:eastAsia="仿宋_GB2312"/>
          <w:sz w:val="32"/>
          <w:szCs w:val="32"/>
        </w:rPr>
        <w:t>020</w:t>
      </w:r>
      <w:r>
        <w:rPr>
          <w:rFonts w:hint="eastAsia" w:ascii="仿宋_GB2312" w:eastAsia="仿宋_GB2312"/>
          <w:sz w:val="32"/>
          <w:szCs w:val="32"/>
        </w:rPr>
        <w:t>年无此项支出。</w:t>
      </w:r>
    </w:p>
    <w:p>
      <w:pPr>
        <w:spacing w:line="560" w:lineRule="exact"/>
        <w:ind w:firstLine="632" w:firstLineChars="200"/>
        <w:rPr>
          <w:rFonts w:hint="eastAsia" w:ascii="楷体_GB2312" w:hAnsi="黑体" w:eastAsia="楷体_GB2312"/>
          <w:sz w:val="32"/>
          <w:szCs w:val="32"/>
        </w:rPr>
      </w:pPr>
      <w:r>
        <w:rPr>
          <w:rFonts w:hint="eastAsia" w:ascii="楷体_GB2312" w:hAnsi="黑体" w:eastAsia="楷体_GB2312"/>
          <w:sz w:val="32"/>
          <w:szCs w:val="32"/>
        </w:rPr>
        <w:t>（二）收入决算情况</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本年收入合计</w:t>
      </w:r>
      <w:r>
        <w:rPr>
          <w:rFonts w:ascii="仿宋_GB2312" w:eastAsia="仿宋_GB2312"/>
          <w:sz w:val="32"/>
          <w:szCs w:val="32"/>
        </w:rPr>
        <w:t>1299.74</w:t>
      </w:r>
      <w:r>
        <w:rPr>
          <w:rFonts w:hint="eastAsia" w:ascii="仿宋_GB2312" w:eastAsia="仿宋_GB2312"/>
          <w:sz w:val="32"/>
          <w:szCs w:val="32"/>
        </w:rPr>
        <w:t>万元，其中：财政拨款收入</w:t>
      </w:r>
      <w:r>
        <w:rPr>
          <w:rFonts w:ascii="仿宋_GB2312" w:eastAsia="仿宋_GB2312"/>
          <w:sz w:val="32"/>
          <w:szCs w:val="32"/>
        </w:rPr>
        <w:t>748.21</w:t>
      </w:r>
      <w:r>
        <w:rPr>
          <w:rFonts w:hint="eastAsia" w:ascii="仿宋_GB2312" w:eastAsia="仿宋_GB2312"/>
          <w:sz w:val="32"/>
          <w:szCs w:val="32"/>
        </w:rPr>
        <w:t>万元，占5</w:t>
      </w:r>
      <w:r>
        <w:rPr>
          <w:rFonts w:ascii="仿宋_GB2312" w:eastAsia="仿宋_GB2312"/>
          <w:sz w:val="32"/>
          <w:szCs w:val="32"/>
        </w:rPr>
        <w:t>7.57</w:t>
      </w:r>
      <w:r>
        <w:rPr>
          <w:rFonts w:hint="eastAsia" w:ascii="仿宋_GB2312" w:eastAsia="仿宋_GB2312"/>
          <w:sz w:val="32"/>
          <w:szCs w:val="32"/>
        </w:rPr>
        <w:t>%；上级补助收入</w:t>
      </w:r>
      <w:r>
        <w:rPr>
          <w:rFonts w:ascii="仿宋_GB2312" w:eastAsia="仿宋_GB2312"/>
          <w:sz w:val="32"/>
          <w:szCs w:val="32"/>
        </w:rPr>
        <w:t>250.60</w:t>
      </w:r>
      <w:r>
        <w:rPr>
          <w:rFonts w:hint="eastAsia" w:ascii="仿宋_GB2312" w:eastAsia="仿宋_GB2312"/>
          <w:sz w:val="32"/>
          <w:szCs w:val="32"/>
        </w:rPr>
        <w:t>万元，占1</w:t>
      </w:r>
      <w:r>
        <w:rPr>
          <w:rFonts w:ascii="仿宋_GB2312" w:eastAsia="仿宋_GB2312"/>
          <w:sz w:val="32"/>
          <w:szCs w:val="32"/>
        </w:rPr>
        <w:t>9.28</w:t>
      </w:r>
      <w:r>
        <w:rPr>
          <w:rFonts w:hint="eastAsia" w:ascii="仿宋_GB2312" w:eastAsia="仿宋_GB2312"/>
          <w:sz w:val="32"/>
          <w:szCs w:val="32"/>
        </w:rPr>
        <w:t>%；经营收入2</w:t>
      </w:r>
      <w:r>
        <w:rPr>
          <w:rFonts w:ascii="仿宋_GB2312" w:eastAsia="仿宋_GB2312"/>
          <w:sz w:val="32"/>
          <w:szCs w:val="32"/>
        </w:rPr>
        <w:t>94.86</w:t>
      </w:r>
      <w:r>
        <w:rPr>
          <w:rFonts w:hint="eastAsia" w:ascii="仿宋_GB2312" w:eastAsia="仿宋_GB2312"/>
          <w:sz w:val="32"/>
          <w:szCs w:val="32"/>
        </w:rPr>
        <w:t>万元，占2</w:t>
      </w:r>
      <w:r>
        <w:rPr>
          <w:rFonts w:ascii="仿宋_GB2312" w:eastAsia="仿宋_GB2312"/>
          <w:sz w:val="32"/>
          <w:szCs w:val="32"/>
        </w:rPr>
        <w:t>2.69</w:t>
      </w:r>
      <w:r>
        <w:rPr>
          <w:rFonts w:hint="eastAsia" w:ascii="仿宋_GB2312" w:eastAsia="仿宋_GB2312"/>
          <w:sz w:val="32"/>
          <w:szCs w:val="32"/>
        </w:rPr>
        <w:t>%；其他收入</w:t>
      </w:r>
      <w:r>
        <w:rPr>
          <w:rFonts w:ascii="仿宋_GB2312" w:eastAsia="仿宋_GB2312"/>
          <w:sz w:val="32"/>
          <w:szCs w:val="32"/>
        </w:rPr>
        <w:t>6.07</w:t>
      </w:r>
      <w:r>
        <w:rPr>
          <w:rFonts w:hint="eastAsia" w:ascii="仿宋_GB2312" w:eastAsia="仿宋_GB2312"/>
          <w:sz w:val="32"/>
          <w:szCs w:val="32"/>
        </w:rPr>
        <w:t>万元，占0</w:t>
      </w:r>
      <w:r>
        <w:rPr>
          <w:rFonts w:ascii="仿宋_GB2312" w:eastAsia="仿宋_GB2312"/>
          <w:sz w:val="32"/>
          <w:szCs w:val="32"/>
        </w:rPr>
        <w:t>.46</w:t>
      </w:r>
      <w:r>
        <w:rPr>
          <w:rFonts w:hint="eastAsia" w:ascii="仿宋_GB2312" w:eastAsia="仿宋_GB2312"/>
          <w:sz w:val="32"/>
          <w:szCs w:val="32"/>
        </w:rPr>
        <w:t>%。</w:t>
      </w:r>
    </w:p>
    <w:p>
      <w:pPr>
        <w:spacing w:line="560" w:lineRule="exact"/>
        <w:ind w:firstLine="632" w:firstLineChars="200"/>
        <w:rPr>
          <w:rFonts w:hint="eastAsia" w:ascii="楷体_GB2312" w:hAnsi="黑体" w:eastAsia="楷体_GB2312"/>
          <w:sz w:val="32"/>
          <w:szCs w:val="32"/>
        </w:rPr>
      </w:pPr>
      <w:r>
        <w:rPr>
          <w:rFonts w:hint="eastAsia" w:ascii="楷体_GB2312" w:hAnsi="黑体" w:eastAsia="楷体_GB2312"/>
          <w:sz w:val="32"/>
          <w:szCs w:val="32"/>
        </w:rPr>
        <w:t>（三）支出决算情况</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本年支出合计</w:t>
      </w:r>
      <w:r>
        <w:rPr>
          <w:rFonts w:ascii="仿宋_GB2312" w:eastAsia="仿宋_GB2312"/>
          <w:sz w:val="32"/>
          <w:szCs w:val="32"/>
        </w:rPr>
        <w:t>1231.25</w:t>
      </w:r>
      <w:r>
        <w:rPr>
          <w:rFonts w:hint="eastAsia" w:ascii="仿宋_GB2312" w:eastAsia="仿宋_GB2312"/>
          <w:sz w:val="32"/>
          <w:szCs w:val="32"/>
        </w:rPr>
        <w:t>万元，其中：基本支出</w:t>
      </w:r>
      <w:r>
        <w:rPr>
          <w:rFonts w:ascii="仿宋_GB2312" w:eastAsia="仿宋_GB2312"/>
          <w:sz w:val="32"/>
          <w:szCs w:val="32"/>
        </w:rPr>
        <w:t>590.21</w:t>
      </w:r>
      <w:r>
        <w:rPr>
          <w:rFonts w:hint="eastAsia" w:ascii="仿宋_GB2312" w:eastAsia="仿宋_GB2312"/>
          <w:sz w:val="32"/>
          <w:szCs w:val="32"/>
        </w:rPr>
        <w:t>万元，占</w:t>
      </w:r>
      <w:r>
        <w:rPr>
          <w:rFonts w:ascii="仿宋_GB2312" w:eastAsia="仿宋_GB2312"/>
          <w:sz w:val="32"/>
          <w:szCs w:val="32"/>
        </w:rPr>
        <w:t>47.94</w:t>
      </w:r>
      <w:r>
        <w:rPr>
          <w:rFonts w:hint="eastAsia" w:ascii="仿宋_GB2312" w:eastAsia="仿宋_GB2312"/>
          <w:sz w:val="32"/>
          <w:szCs w:val="32"/>
        </w:rPr>
        <w:t>%；项目支出</w:t>
      </w:r>
      <w:r>
        <w:rPr>
          <w:rFonts w:ascii="仿宋_GB2312" w:eastAsia="仿宋_GB2312"/>
          <w:sz w:val="32"/>
          <w:szCs w:val="32"/>
        </w:rPr>
        <w:t>363.83</w:t>
      </w:r>
      <w:r>
        <w:rPr>
          <w:rFonts w:hint="eastAsia" w:ascii="仿宋_GB2312" w:eastAsia="仿宋_GB2312"/>
          <w:sz w:val="32"/>
          <w:szCs w:val="32"/>
        </w:rPr>
        <w:t>万元，占</w:t>
      </w:r>
      <w:r>
        <w:rPr>
          <w:rFonts w:ascii="仿宋_GB2312" w:eastAsia="仿宋_GB2312"/>
          <w:sz w:val="32"/>
          <w:szCs w:val="32"/>
        </w:rPr>
        <w:t>29.55</w:t>
      </w:r>
      <w:r>
        <w:rPr>
          <w:rFonts w:hint="eastAsia" w:ascii="仿宋_GB2312" w:eastAsia="仿宋_GB2312"/>
          <w:sz w:val="32"/>
          <w:szCs w:val="32"/>
        </w:rPr>
        <w:t>%；经营支出</w:t>
      </w:r>
      <w:r>
        <w:rPr>
          <w:rFonts w:ascii="仿宋_GB2312" w:eastAsia="仿宋_GB2312"/>
          <w:sz w:val="32"/>
          <w:szCs w:val="32"/>
        </w:rPr>
        <w:t>277.21</w:t>
      </w:r>
      <w:r>
        <w:rPr>
          <w:rFonts w:hint="eastAsia" w:ascii="仿宋_GB2312" w:eastAsia="仿宋_GB2312"/>
          <w:sz w:val="32"/>
          <w:szCs w:val="32"/>
        </w:rPr>
        <w:t>万元，占2</w:t>
      </w:r>
      <w:r>
        <w:rPr>
          <w:rFonts w:ascii="仿宋_GB2312" w:eastAsia="仿宋_GB2312"/>
          <w:sz w:val="32"/>
          <w:szCs w:val="32"/>
        </w:rPr>
        <w:t>2.51</w:t>
      </w:r>
      <w:r>
        <w:rPr>
          <w:rFonts w:hint="eastAsia" w:ascii="仿宋_GB2312" w:eastAsia="仿宋_GB2312"/>
          <w:sz w:val="32"/>
          <w:szCs w:val="32"/>
        </w:rPr>
        <w:t>%。</w:t>
      </w:r>
    </w:p>
    <w:p>
      <w:pPr>
        <w:spacing w:line="560" w:lineRule="exact"/>
        <w:ind w:firstLine="632" w:firstLineChars="200"/>
        <w:rPr>
          <w:rFonts w:hint="eastAsia" w:ascii="楷体_GB2312" w:hAnsi="黑体" w:eastAsia="楷体_GB2312"/>
          <w:sz w:val="32"/>
          <w:szCs w:val="32"/>
        </w:rPr>
      </w:pPr>
      <w:r>
        <w:rPr>
          <w:rFonts w:hint="eastAsia" w:ascii="楷体_GB2312" w:hAnsi="黑体" w:eastAsia="楷体_GB2312"/>
          <w:sz w:val="32"/>
          <w:szCs w:val="32"/>
        </w:rPr>
        <w:t>（四）财政拨款收入支出决算总体情况</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2020年度财政拨款收、支总计</w:t>
      </w:r>
      <w:r>
        <w:rPr>
          <w:rFonts w:ascii="仿宋_GB2312" w:eastAsia="仿宋_GB2312"/>
          <w:sz w:val="32"/>
          <w:szCs w:val="32"/>
        </w:rPr>
        <w:t>748.21</w:t>
      </w:r>
      <w:r>
        <w:rPr>
          <w:rFonts w:hint="eastAsia" w:ascii="仿宋_GB2312" w:eastAsia="仿宋_GB2312"/>
          <w:sz w:val="32"/>
          <w:szCs w:val="32"/>
        </w:rPr>
        <w:t>万元。与2019年度相比，财政拨款收、支总计各减少5</w:t>
      </w:r>
      <w:r>
        <w:rPr>
          <w:rFonts w:ascii="仿宋_GB2312" w:eastAsia="仿宋_GB2312"/>
          <w:sz w:val="32"/>
          <w:szCs w:val="32"/>
        </w:rPr>
        <w:t>72.42</w:t>
      </w:r>
      <w:r>
        <w:rPr>
          <w:rFonts w:hint="eastAsia" w:ascii="仿宋_GB2312" w:eastAsia="仿宋_GB2312"/>
          <w:sz w:val="32"/>
          <w:szCs w:val="32"/>
        </w:rPr>
        <w:t>万元，下降4</w:t>
      </w:r>
      <w:r>
        <w:rPr>
          <w:rFonts w:ascii="仿宋_GB2312" w:eastAsia="仿宋_GB2312"/>
          <w:sz w:val="32"/>
          <w:szCs w:val="32"/>
        </w:rPr>
        <w:t>3.34</w:t>
      </w:r>
      <w:r>
        <w:rPr>
          <w:rFonts w:hint="eastAsia" w:ascii="仿宋_GB2312" w:eastAsia="仿宋_GB2312"/>
          <w:sz w:val="32"/>
          <w:szCs w:val="32"/>
        </w:rPr>
        <w:t>%。主要是2</w:t>
      </w:r>
      <w:r>
        <w:rPr>
          <w:rFonts w:ascii="仿宋_GB2312" w:eastAsia="仿宋_GB2312"/>
          <w:sz w:val="32"/>
          <w:szCs w:val="32"/>
        </w:rPr>
        <w:t>019</w:t>
      </w:r>
      <w:r>
        <w:rPr>
          <w:rFonts w:hint="eastAsia" w:ascii="仿宋_GB2312" w:eastAsia="仿宋_GB2312"/>
          <w:sz w:val="32"/>
          <w:szCs w:val="32"/>
        </w:rPr>
        <w:t>年承接青岛国家标准化论坛会议服务任务，收到会展业专项经费6</w:t>
      </w:r>
      <w:r>
        <w:rPr>
          <w:rFonts w:ascii="仿宋_GB2312" w:eastAsia="仿宋_GB2312"/>
          <w:sz w:val="32"/>
          <w:szCs w:val="32"/>
        </w:rPr>
        <w:t>15.72</w:t>
      </w:r>
      <w:r>
        <w:rPr>
          <w:rFonts w:hint="eastAsia" w:ascii="仿宋_GB2312" w:eastAsia="仿宋_GB2312"/>
          <w:sz w:val="32"/>
          <w:szCs w:val="32"/>
        </w:rPr>
        <w:t>万元，2</w:t>
      </w:r>
      <w:r>
        <w:rPr>
          <w:rFonts w:ascii="仿宋_GB2312" w:eastAsia="仿宋_GB2312"/>
          <w:sz w:val="32"/>
          <w:szCs w:val="32"/>
        </w:rPr>
        <w:t>020</w:t>
      </w:r>
      <w:r>
        <w:rPr>
          <w:rFonts w:hint="eastAsia" w:ascii="仿宋_GB2312" w:eastAsia="仿宋_GB2312"/>
          <w:sz w:val="32"/>
          <w:szCs w:val="32"/>
        </w:rPr>
        <w:t>年无此项支出。</w:t>
      </w:r>
    </w:p>
    <w:p>
      <w:pPr>
        <w:spacing w:line="560" w:lineRule="exact"/>
        <w:ind w:firstLine="632" w:firstLineChars="200"/>
        <w:rPr>
          <w:rFonts w:hint="eastAsia" w:ascii="楷体_GB2312" w:hAnsi="黑体" w:eastAsia="楷体_GB2312"/>
          <w:sz w:val="32"/>
          <w:szCs w:val="32"/>
        </w:rPr>
      </w:pPr>
      <w:r>
        <w:rPr>
          <w:rFonts w:hint="eastAsia" w:ascii="楷体_GB2312" w:hAnsi="黑体" w:eastAsia="楷体_GB2312"/>
          <w:sz w:val="32"/>
          <w:szCs w:val="32"/>
        </w:rPr>
        <w:t>（五）一般公共预算财政拨款支出决算情况</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1.一般公共预算财政拨款支出决算总体情况</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2020年度一般公共预算财政拨款支出</w:t>
      </w:r>
      <w:r>
        <w:rPr>
          <w:rFonts w:ascii="仿宋_GB2312" w:eastAsia="仿宋_GB2312"/>
          <w:sz w:val="32"/>
          <w:szCs w:val="32"/>
        </w:rPr>
        <w:t>748.21</w:t>
      </w:r>
      <w:r>
        <w:rPr>
          <w:rFonts w:hint="eastAsia" w:ascii="仿宋_GB2312" w:eastAsia="仿宋_GB2312"/>
          <w:sz w:val="32"/>
          <w:szCs w:val="32"/>
        </w:rPr>
        <w:t>万元，占本年支出合计的</w:t>
      </w:r>
      <w:r>
        <w:rPr>
          <w:rFonts w:ascii="仿宋_GB2312" w:eastAsia="仿宋_GB2312"/>
          <w:sz w:val="32"/>
          <w:szCs w:val="32"/>
        </w:rPr>
        <w:t>60.77</w:t>
      </w:r>
      <w:r>
        <w:rPr>
          <w:rFonts w:hint="eastAsia" w:ascii="仿宋_GB2312" w:eastAsia="仿宋_GB2312"/>
          <w:sz w:val="32"/>
          <w:szCs w:val="32"/>
        </w:rPr>
        <w:t>%。与2019年度相比，一般公共预算财政拨款支出减少5</w:t>
      </w:r>
      <w:r>
        <w:rPr>
          <w:rFonts w:ascii="仿宋_GB2312" w:eastAsia="仿宋_GB2312"/>
          <w:sz w:val="32"/>
          <w:szCs w:val="32"/>
        </w:rPr>
        <w:t>72.42</w:t>
      </w:r>
      <w:r>
        <w:rPr>
          <w:rFonts w:hint="eastAsia" w:ascii="仿宋_GB2312" w:eastAsia="仿宋_GB2312"/>
          <w:sz w:val="32"/>
          <w:szCs w:val="32"/>
        </w:rPr>
        <w:t>万元，下降4</w:t>
      </w:r>
      <w:r>
        <w:rPr>
          <w:rFonts w:ascii="仿宋_GB2312" w:eastAsia="仿宋_GB2312"/>
          <w:sz w:val="32"/>
          <w:szCs w:val="32"/>
        </w:rPr>
        <w:t>3.34</w:t>
      </w:r>
      <w:r>
        <w:rPr>
          <w:rFonts w:hint="eastAsia" w:ascii="仿宋_GB2312" w:eastAsia="仿宋_GB2312"/>
          <w:sz w:val="32"/>
          <w:szCs w:val="32"/>
        </w:rPr>
        <w:t xml:space="preserve"> %。主要是2</w:t>
      </w:r>
      <w:r>
        <w:rPr>
          <w:rFonts w:ascii="仿宋_GB2312" w:eastAsia="仿宋_GB2312"/>
          <w:sz w:val="32"/>
          <w:szCs w:val="32"/>
        </w:rPr>
        <w:t>019</w:t>
      </w:r>
      <w:r>
        <w:rPr>
          <w:rFonts w:hint="eastAsia" w:ascii="仿宋_GB2312" w:eastAsia="仿宋_GB2312"/>
          <w:sz w:val="32"/>
          <w:szCs w:val="32"/>
        </w:rPr>
        <w:t>年承接青岛国家标准化论坛会议服务任务，收到会展业专项经费6</w:t>
      </w:r>
      <w:r>
        <w:rPr>
          <w:rFonts w:ascii="仿宋_GB2312" w:eastAsia="仿宋_GB2312"/>
          <w:sz w:val="32"/>
          <w:szCs w:val="32"/>
        </w:rPr>
        <w:t>15.72</w:t>
      </w:r>
      <w:r>
        <w:rPr>
          <w:rFonts w:hint="eastAsia" w:ascii="仿宋_GB2312" w:eastAsia="仿宋_GB2312"/>
          <w:sz w:val="32"/>
          <w:szCs w:val="32"/>
        </w:rPr>
        <w:t>万元，2</w:t>
      </w:r>
      <w:r>
        <w:rPr>
          <w:rFonts w:ascii="仿宋_GB2312" w:eastAsia="仿宋_GB2312"/>
          <w:sz w:val="32"/>
          <w:szCs w:val="32"/>
        </w:rPr>
        <w:t>020</w:t>
      </w:r>
      <w:r>
        <w:rPr>
          <w:rFonts w:hint="eastAsia" w:ascii="仿宋_GB2312" w:eastAsia="仿宋_GB2312"/>
          <w:sz w:val="32"/>
          <w:szCs w:val="32"/>
        </w:rPr>
        <w:t>年无此项支出。</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2.一般公共预算财政拨款支出决算结构情况</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2020年度一般公共预算财政拨款支出7</w:t>
      </w:r>
      <w:r>
        <w:rPr>
          <w:rFonts w:ascii="仿宋_GB2312" w:eastAsia="仿宋_GB2312"/>
          <w:sz w:val="32"/>
          <w:szCs w:val="32"/>
        </w:rPr>
        <w:t>48.21</w:t>
      </w:r>
      <w:r>
        <w:rPr>
          <w:rFonts w:hint="eastAsia" w:ascii="仿宋_GB2312" w:eastAsia="仿宋_GB2312"/>
          <w:sz w:val="32"/>
          <w:szCs w:val="32"/>
        </w:rPr>
        <w:t>万元，主要用于以下方面：一般公共服务支出6</w:t>
      </w:r>
      <w:r>
        <w:rPr>
          <w:rFonts w:ascii="仿宋_GB2312" w:eastAsia="仿宋_GB2312"/>
          <w:sz w:val="32"/>
          <w:szCs w:val="32"/>
        </w:rPr>
        <w:t>53.35</w:t>
      </w:r>
      <w:r>
        <w:rPr>
          <w:rFonts w:hint="eastAsia" w:ascii="仿宋_GB2312" w:eastAsia="仿宋_GB2312"/>
          <w:sz w:val="32"/>
          <w:szCs w:val="32"/>
        </w:rPr>
        <w:t>万元，占8</w:t>
      </w:r>
      <w:r>
        <w:rPr>
          <w:rFonts w:ascii="仿宋_GB2312" w:eastAsia="仿宋_GB2312"/>
          <w:sz w:val="32"/>
          <w:szCs w:val="32"/>
        </w:rPr>
        <w:t>7.32</w:t>
      </w:r>
      <w:r>
        <w:rPr>
          <w:rFonts w:hint="eastAsia" w:ascii="仿宋_GB2312" w:eastAsia="仿宋_GB2312"/>
          <w:sz w:val="32"/>
          <w:szCs w:val="32"/>
        </w:rPr>
        <w:t>%；社会保障和就业支出6</w:t>
      </w:r>
      <w:r>
        <w:rPr>
          <w:rFonts w:ascii="仿宋_GB2312" w:eastAsia="仿宋_GB2312"/>
          <w:sz w:val="32"/>
          <w:szCs w:val="32"/>
        </w:rPr>
        <w:t>3.18</w:t>
      </w:r>
      <w:r>
        <w:rPr>
          <w:rFonts w:hint="eastAsia" w:ascii="仿宋_GB2312" w:eastAsia="仿宋_GB2312"/>
          <w:sz w:val="32"/>
          <w:szCs w:val="32"/>
        </w:rPr>
        <w:t>万元，占</w:t>
      </w:r>
      <w:r>
        <w:rPr>
          <w:rFonts w:ascii="仿宋_GB2312" w:eastAsia="仿宋_GB2312"/>
          <w:sz w:val="32"/>
          <w:szCs w:val="32"/>
        </w:rPr>
        <w:t>8.45</w:t>
      </w:r>
      <w:r>
        <w:rPr>
          <w:rFonts w:hint="eastAsia" w:ascii="仿宋_GB2312" w:eastAsia="仿宋_GB2312"/>
          <w:sz w:val="32"/>
          <w:szCs w:val="32"/>
        </w:rPr>
        <w:t>%；住房保障支出3</w:t>
      </w:r>
      <w:r>
        <w:rPr>
          <w:rFonts w:ascii="仿宋_GB2312" w:eastAsia="仿宋_GB2312"/>
          <w:sz w:val="32"/>
          <w:szCs w:val="32"/>
        </w:rPr>
        <w:t>1.68</w:t>
      </w:r>
      <w:r>
        <w:rPr>
          <w:rFonts w:hint="eastAsia" w:ascii="仿宋_GB2312" w:eastAsia="仿宋_GB2312"/>
          <w:sz w:val="32"/>
          <w:szCs w:val="32"/>
        </w:rPr>
        <w:t>万元，占4</w:t>
      </w:r>
      <w:r>
        <w:rPr>
          <w:rFonts w:ascii="仿宋_GB2312" w:eastAsia="仿宋_GB2312"/>
          <w:sz w:val="32"/>
          <w:szCs w:val="32"/>
        </w:rPr>
        <w:t>.23</w:t>
      </w:r>
      <w:r>
        <w:rPr>
          <w:rFonts w:hint="eastAsia" w:ascii="仿宋_GB2312" w:eastAsia="仿宋_GB2312"/>
          <w:sz w:val="32"/>
          <w:szCs w:val="32"/>
        </w:rPr>
        <w:t>%。</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3.一般公共预算财政拨款支出决算具体情况</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2020年度一般公共预算财政拨款支出年初预算为</w:t>
      </w:r>
      <w:r>
        <w:rPr>
          <w:rFonts w:ascii="仿宋_GB2312" w:eastAsia="仿宋_GB2312"/>
          <w:sz w:val="32"/>
          <w:szCs w:val="32"/>
        </w:rPr>
        <w:t>660.02</w:t>
      </w:r>
      <w:r>
        <w:rPr>
          <w:rFonts w:hint="eastAsia" w:ascii="仿宋_GB2312" w:eastAsia="仿宋_GB2312"/>
          <w:sz w:val="32"/>
          <w:szCs w:val="32"/>
        </w:rPr>
        <w:t>万元，支出决算为</w:t>
      </w:r>
      <w:r>
        <w:rPr>
          <w:rFonts w:ascii="仿宋_GB2312" w:eastAsia="仿宋_GB2312"/>
          <w:sz w:val="32"/>
          <w:szCs w:val="32"/>
        </w:rPr>
        <w:t>748.21</w:t>
      </w:r>
      <w:r>
        <w:rPr>
          <w:rFonts w:hint="eastAsia" w:ascii="仿宋_GB2312" w:eastAsia="仿宋_GB2312"/>
          <w:sz w:val="32"/>
          <w:szCs w:val="32"/>
        </w:rPr>
        <w:t>万元，完成年初预算的</w:t>
      </w:r>
      <w:r>
        <w:rPr>
          <w:rFonts w:ascii="仿宋_GB2312" w:eastAsia="仿宋_GB2312"/>
          <w:sz w:val="32"/>
          <w:szCs w:val="32"/>
        </w:rPr>
        <w:t>113.36</w:t>
      </w:r>
      <w:r>
        <w:rPr>
          <w:rFonts w:hint="eastAsia" w:ascii="仿宋_GB2312" w:eastAsia="仿宋_GB2312"/>
          <w:sz w:val="32"/>
          <w:szCs w:val="32"/>
        </w:rPr>
        <w:t>%。决算数大于年初预算数的主要原因新增绩效考核奖等。其中：</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（1）一般公共服务支出（类）市场监督管理事务（款）事业运行（项）。年初预算为</w:t>
      </w:r>
      <w:r>
        <w:rPr>
          <w:rFonts w:ascii="仿宋_GB2312" w:eastAsia="仿宋_GB2312"/>
          <w:sz w:val="32"/>
          <w:szCs w:val="32"/>
        </w:rPr>
        <w:t>565.16</w:t>
      </w:r>
      <w:r>
        <w:rPr>
          <w:rFonts w:hint="eastAsia" w:ascii="仿宋_GB2312" w:eastAsia="仿宋_GB2312"/>
          <w:sz w:val="32"/>
          <w:szCs w:val="32"/>
        </w:rPr>
        <w:t>万元，支出决算为</w:t>
      </w:r>
      <w:r>
        <w:rPr>
          <w:rFonts w:ascii="仿宋_GB2312" w:eastAsia="仿宋_GB2312"/>
          <w:sz w:val="32"/>
          <w:szCs w:val="32"/>
        </w:rPr>
        <w:t>653.35</w:t>
      </w:r>
      <w:r>
        <w:rPr>
          <w:rFonts w:hint="eastAsia" w:ascii="仿宋_GB2312" w:eastAsia="仿宋_GB2312"/>
          <w:sz w:val="32"/>
          <w:szCs w:val="32"/>
        </w:rPr>
        <w:t>万元，完成年初预算的</w:t>
      </w:r>
      <w:r>
        <w:rPr>
          <w:rFonts w:ascii="仿宋_GB2312" w:eastAsia="仿宋_GB2312"/>
          <w:sz w:val="32"/>
          <w:szCs w:val="32"/>
        </w:rPr>
        <w:t>115.60</w:t>
      </w:r>
      <w:r>
        <w:rPr>
          <w:rFonts w:hint="eastAsia" w:ascii="仿宋_GB2312" w:eastAsia="仿宋_GB2312"/>
          <w:sz w:val="32"/>
          <w:szCs w:val="32"/>
        </w:rPr>
        <w:t>%。决算数大于年初预算数主要原因是新增绩效考核奖等。</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（2）社会保障和就业支出（类）行政事业单位养老支出（款）机关事业单位基本养老保险缴费支出（项）。年初预算为</w:t>
      </w:r>
      <w:r>
        <w:rPr>
          <w:rFonts w:ascii="仿宋_GB2312" w:eastAsia="仿宋_GB2312"/>
          <w:sz w:val="32"/>
          <w:szCs w:val="32"/>
        </w:rPr>
        <w:t>42.12</w:t>
      </w:r>
      <w:r>
        <w:rPr>
          <w:rFonts w:hint="eastAsia" w:ascii="仿宋_GB2312" w:eastAsia="仿宋_GB2312"/>
          <w:sz w:val="32"/>
          <w:szCs w:val="32"/>
        </w:rPr>
        <w:t>万元，支出决算为</w:t>
      </w:r>
      <w:r>
        <w:rPr>
          <w:rFonts w:ascii="仿宋_GB2312" w:eastAsia="仿宋_GB2312"/>
          <w:sz w:val="32"/>
          <w:szCs w:val="32"/>
        </w:rPr>
        <w:t>42.12</w:t>
      </w:r>
      <w:r>
        <w:rPr>
          <w:rFonts w:hint="eastAsia" w:ascii="仿宋_GB2312" w:eastAsia="仿宋_GB2312"/>
          <w:sz w:val="32"/>
          <w:szCs w:val="32"/>
        </w:rPr>
        <w:t>万元，完成年初预算的</w:t>
      </w:r>
      <w:r>
        <w:rPr>
          <w:rFonts w:ascii="仿宋_GB2312" w:eastAsia="仿宋_GB2312"/>
          <w:sz w:val="32"/>
          <w:szCs w:val="32"/>
        </w:rPr>
        <w:t>100</w:t>
      </w:r>
      <w:r>
        <w:rPr>
          <w:rFonts w:hint="eastAsia" w:ascii="仿宋_GB2312" w:eastAsia="仿宋_GB2312"/>
          <w:sz w:val="32"/>
          <w:szCs w:val="32"/>
        </w:rPr>
        <w:t>%。决算数与年初预算基本持平。</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）社会保障和就业支出（类）行政事业单位养老支出（款）机关事业单位职业年金缴费支出（项）。年初预算为</w:t>
      </w:r>
      <w:r>
        <w:rPr>
          <w:rFonts w:ascii="仿宋_GB2312" w:eastAsia="仿宋_GB2312"/>
          <w:sz w:val="32"/>
          <w:szCs w:val="32"/>
        </w:rPr>
        <w:t>21.06</w:t>
      </w:r>
      <w:r>
        <w:rPr>
          <w:rFonts w:hint="eastAsia" w:ascii="仿宋_GB2312" w:eastAsia="仿宋_GB2312"/>
          <w:sz w:val="32"/>
          <w:szCs w:val="32"/>
        </w:rPr>
        <w:t>万元，支出决算为</w:t>
      </w:r>
      <w:r>
        <w:rPr>
          <w:rFonts w:ascii="仿宋_GB2312" w:eastAsia="仿宋_GB2312"/>
          <w:sz w:val="32"/>
          <w:szCs w:val="32"/>
        </w:rPr>
        <w:t>21.06</w:t>
      </w:r>
      <w:r>
        <w:rPr>
          <w:rFonts w:hint="eastAsia" w:ascii="仿宋_GB2312" w:eastAsia="仿宋_GB2312"/>
          <w:sz w:val="32"/>
          <w:szCs w:val="32"/>
        </w:rPr>
        <w:t>万元，完成年初预算的</w:t>
      </w:r>
      <w:r>
        <w:rPr>
          <w:rFonts w:ascii="仿宋_GB2312" w:eastAsia="仿宋_GB2312"/>
          <w:sz w:val="32"/>
          <w:szCs w:val="32"/>
        </w:rPr>
        <w:t>100</w:t>
      </w:r>
      <w:r>
        <w:rPr>
          <w:rFonts w:hint="eastAsia" w:ascii="仿宋_GB2312" w:eastAsia="仿宋_GB2312"/>
          <w:sz w:val="32"/>
          <w:szCs w:val="32"/>
        </w:rPr>
        <w:t>%。决算数与年初预算基本持平。</w:t>
      </w:r>
    </w:p>
    <w:p>
      <w:pPr>
        <w:spacing w:line="560" w:lineRule="exact"/>
        <w:ind w:firstLine="632" w:firstLineChars="200"/>
        <w:rPr>
          <w:rFonts w:ascii="仿宋_GB2312" w:eastAsia="仿宋_GB2312"/>
          <w:sz w:val="32"/>
          <w:szCs w:val="32"/>
        </w:rPr>
      </w:pPr>
      <w:r>
        <w:rPr>
          <w:rFonts w:hint="eastAsia" w:ascii="仿宋_GB2312" w:eastAsia="仿宋_GB2312" w:cs="FangSong_GB2312-Identity-H"/>
          <w:bCs/>
          <w:kern w:val="0"/>
          <w:sz w:val="32"/>
          <w:szCs w:val="32"/>
        </w:rPr>
        <w:t>（4）住房保障支出（类）</w:t>
      </w:r>
      <w:r>
        <w:rPr>
          <w:rFonts w:hint="eastAsia" w:ascii="仿宋_GB2312" w:eastAsia="仿宋_GB2312" w:cs="FangSong_GB2312-Identity-H"/>
          <w:kern w:val="0"/>
          <w:sz w:val="32"/>
          <w:szCs w:val="32"/>
        </w:rPr>
        <w:t>住房改革支出（款）住房公积金（项）。</w:t>
      </w:r>
      <w:r>
        <w:rPr>
          <w:rFonts w:hint="eastAsia" w:ascii="仿宋_GB2312" w:eastAsia="仿宋_GB2312"/>
          <w:sz w:val="32"/>
          <w:szCs w:val="32"/>
        </w:rPr>
        <w:t>年初预算为</w:t>
      </w:r>
      <w:r>
        <w:rPr>
          <w:rFonts w:ascii="仿宋_GB2312" w:eastAsia="仿宋_GB2312"/>
          <w:sz w:val="32"/>
          <w:szCs w:val="32"/>
        </w:rPr>
        <w:t>31.68</w:t>
      </w:r>
      <w:r>
        <w:rPr>
          <w:rFonts w:hint="eastAsia" w:ascii="仿宋_GB2312" w:eastAsia="仿宋_GB2312"/>
          <w:sz w:val="32"/>
          <w:szCs w:val="32"/>
        </w:rPr>
        <w:t>万元，支出决算为</w:t>
      </w:r>
      <w:r>
        <w:rPr>
          <w:rFonts w:ascii="仿宋_GB2312" w:eastAsia="仿宋_GB2312"/>
          <w:sz w:val="32"/>
          <w:szCs w:val="32"/>
        </w:rPr>
        <w:t>31.68</w:t>
      </w:r>
      <w:r>
        <w:rPr>
          <w:rFonts w:hint="eastAsia" w:ascii="仿宋_GB2312" w:eastAsia="仿宋_GB2312"/>
          <w:sz w:val="32"/>
          <w:szCs w:val="32"/>
        </w:rPr>
        <w:t>万元，完成年初预算的</w:t>
      </w:r>
      <w:r>
        <w:rPr>
          <w:rFonts w:ascii="仿宋_GB2312" w:eastAsia="仿宋_GB2312"/>
          <w:sz w:val="32"/>
          <w:szCs w:val="32"/>
        </w:rPr>
        <w:t>100</w:t>
      </w:r>
      <w:r>
        <w:rPr>
          <w:rFonts w:hint="eastAsia" w:ascii="仿宋_GB2312" w:eastAsia="仿宋_GB2312"/>
          <w:sz w:val="32"/>
          <w:szCs w:val="32"/>
        </w:rPr>
        <w:t>%。决算数与年初预算基本持平。</w:t>
      </w:r>
    </w:p>
    <w:p>
      <w:pPr>
        <w:spacing w:line="560" w:lineRule="exact"/>
        <w:ind w:firstLine="632" w:firstLineChars="200"/>
        <w:rPr>
          <w:rFonts w:hint="eastAsia" w:ascii="楷体_GB2312" w:hAnsi="黑体" w:eastAsia="楷体_GB2312"/>
          <w:sz w:val="32"/>
          <w:szCs w:val="32"/>
        </w:rPr>
      </w:pPr>
      <w:r>
        <w:rPr>
          <w:rFonts w:hint="eastAsia" w:ascii="楷体_GB2312" w:hAnsi="黑体" w:eastAsia="楷体_GB2312"/>
          <w:sz w:val="32"/>
          <w:szCs w:val="32"/>
        </w:rPr>
        <w:t>（六）一般公共预算财政拨款基本支出决算情况说明</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2020年度一般公共预算财政拨款基本支出决算</w:t>
      </w:r>
      <w:r>
        <w:rPr>
          <w:rFonts w:ascii="仿宋_GB2312" w:eastAsia="仿宋_GB2312"/>
          <w:sz w:val="32"/>
          <w:szCs w:val="32"/>
        </w:rPr>
        <w:t>590.21</w:t>
      </w:r>
      <w:r>
        <w:rPr>
          <w:rFonts w:hint="eastAsia" w:ascii="仿宋_GB2312" w:eastAsia="仿宋_GB2312"/>
          <w:sz w:val="32"/>
          <w:szCs w:val="32"/>
        </w:rPr>
        <w:t>万元，包括人员经费和公用经费，支出具体情况如下：</w:t>
      </w:r>
    </w:p>
    <w:p>
      <w:pPr>
        <w:spacing w:line="580" w:lineRule="exact"/>
        <w:ind w:firstLine="632" w:firstLineChars="200"/>
        <w:rPr>
          <w:rFonts w:hint="eastAsia" w:ascii="仿宋_GB2312" w:eastAsia="仿宋_GB2312"/>
          <w:b/>
          <w:sz w:val="32"/>
          <w:szCs w:val="32"/>
        </w:rPr>
      </w:pPr>
      <w:r>
        <w:rPr>
          <w:rFonts w:hint="eastAsia" w:ascii="仿宋_GB2312" w:eastAsia="仿宋_GB2312"/>
          <w:sz w:val="32"/>
          <w:szCs w:val="32"/>
        </w:rPr>
        <w:t>人员经费</w:t>
      </w:r>
      <w:r>
        <w:rPr>
          <w:rFonts w:ascii="仿宋_GB2312" w:eastAsia="仿宋_GB2312"/>
          <w:sz w:val="32"/>
          <w:szCs w:val="32"/>
        </w:rPr>
        <w:t>370.43</w:t>
      </w:r>
      <w:r>
        <w:rPr>
          <w:rFonts w:hint="eastAsia" w:ascii="仿宋_GB2312" w:eastAsia="仿宋_GB2312"/>
          <w:sz w:val="32"/>
          <w:szCs w:val="32"/>
        </w:rPr>
        <w:t>万元，主要包括：基本工资、津贴补贴、绩效工资、机关事业单位基本养老保险缴费、职业年金缴费、职工基本医疗保险缴费、其他社会保障缴费、住房公积金、离休费、医疗费补助。</w:t>
      </w:r>
    </w:p>
    <w:p>
      <w:pPr>
        <w:spacing w:line="580" w:lineRule="exact"/>
        <w:ind w:firstLine="632" w:firstLineChars="200"/>
        <w:rPr>
          <w:rFonts w:hint="eastAsia" w:ascii="仿宋_GB2312" w:eastAsia="仿宋_GB2312"/>
          <w:b/>
          <w:sz w:val="32"/>
          <w:szCs w:val="32"/>
        </w:rPr>
      </w:pPr>
      <w:r>
        <w:rPr>
          <w:rFonts w:hint="eastAsia" w:ascii="仿宋_GB2312" w:eastAsia="仿宋_GB2312"/>
          <w:sz w:val="32"/>
          <w:szCs w:val="32"/>
        </w:rPr>
        <w:t>公用经费</w:t>
      </w:r>
      <w:r>
        <w:rPr>
          <w:rFonts w:ascii="仿宋_GB2312" w:eastAsia="仿宋_GB2312"/>
          <w:sz w:val="32"/>
          <w:szCs w:val="32"/>
        </w:rPr>
        <w:t>219.78</w:t>
      </w:r>
      <w:r>
        <w:rPr>
          <w:rFonts w:hint="eastAsia" w:ascii="仿宋_GB2312" w:eastAsia="仿宋_GB2312"/>
          <w:sz w:val="32"/>
          <w:szCs w:val="32"/>
        </w:rPr>
        <w:t>万元，主要包括：办公费、咨询费、水费、电费、邮电费、物业管理费、差旅费、维修（护）费、公务接待费、工会经费、公务用车运行维护费、其他交通费用、其他商品和服务支出。</w:t>
      </w:r>
    </w:p>
    <w:p>
      <w:pPr>
        <w:spacing w:line="560" w:lineRule="exact"/>
        <w:ind w:firstLine="632" w:firstLineChars="200"/>
        <w:rPr>
          <w:rFonts w:hint="eastAsia" w:ascii="楷体_GB2312" w:hAnsi="黑体" w:eastAsia="楷体_GB2312"/>
          <w:sz w:val="32"/>
          <w:szCs w:val="32"/>
        </w:rPr>
      </w:pPr>
      <w:r>
        <w:rPr>
          <w:rFonts w:hint="eastAsia" w:ascii="楷体_GB2312" w:hAnsi="黑体" w:eastAsia="楷体_GB2312"/>
          <w:sz w:val="32"/>
          <w:szCs w:val="32"/>
        </w:rPr>
        <w:t>（七）一般公共预算财政拨款“三公”经费支出决算情况说明</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1.“三公”经费支出决算总体情况</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2020年度一般公共预算财政拨款“三公”经费支出年初预算为4</w:t>
      </w:r>
      <w:r>
        <w:rPr>
          <w:rFonts w:ascii="仿宋_GB2312" w:eastAsia="仿宋_GB2312"/>
          <w:sz w:val="32"/>
          <w:szCs w:val="32"/>
        </w:rPr>
        <w:t>.9</w:t>
      </w:r>
      <w:r>
        <w:rPr>
          <w:rFonts w:hint="eastAsia" w:ascii="仿宋_GB2312" w:eastAsia="仿宋_GB2312"/>
          <w:sz w:val="32"/>
          <w:szCs w:val="32"/>
        </w:rPr>
        <w:t>万元，支出决算为</w:t>
      </w:r>
      <w:r>
        <w:rPr>
          <w:rFonts w:ascii="仿宋_GB2312" w:eastAsia="仿宋_GB2312"/>
          <w:sz w:val="32"/>
          <w:szCs w:val="32"/>
        </w:rPr>
        <w:t>0.19</w:t>
      </w:r>
      <w:r>
        <w:rPr>
          <w:rFonts w:hint="eastAsia" w:ascii="仿宋_GB2312" w:eastAsia="仿宋_GB2312"/>
          <w:sz w:val="32"/>
          <w:szCs w:val="32"/>
        </w:rPr>
        <w:t>万元，比年初预算减少</w:t>
      </w:r>
      <w:r>
        <w:rPr>
          <w:rFonts w:ascii="仿宋_GB2312" w:eastAsia="仿宋_GB2312"/>
          <w:sz w:val="32"/>
          <w:szCs w:val="32"/>
        </w:rPr>
        <w:t>4.71</w:t>
      </w:r>
      <w:r>
        <w:rPr>
          <w:rFonts w:hint="eastAsia" w:ascii="仿宋_GB2312" w:eastAsia="仿宋_GB2312"/>
          <w:sz w:val="32"/>
          <w:szCs w:val="32"/>
        </w:rPr>
        <w:t>万元，完成年初预算的3</w:t>
      </w:r>
      <w:r>
        <w:rPr>
          <w:rFonts w:ascii="仿宋_GB2312" w:eastAsia="仿宋_GB2312"/>
          <w:sz w:val="32"/>
          <w:szCs w:val="32"/>
        </w:rPr>
        <w:t>.88</w:t>
      </w:r>
      <w:r>
        <w:rPr>
          <w:rFonts w:hint="eastAsia" w:ascii="仿宋_GB2312" w:eastAsia="仿宋_GB2312"/>
          <w:sz w:val="32"/>
          <w:szCs w:val="32"/>
        </w:rPr>
        <w:t>%， 决算数小于年初预算数的主要原因是</w:t>
      </w:r>
      <w:r>
        <w:rPr>
          <w:rFonts w:hint="eastAsia" w:ascii="仿宋_GB2312" w:hAnsi="仿宋_GB2312" w:eastAsia="仿宋_GB2312" w:cs="仿宋_GB2312"/>
          <w:sz w:val="32"/>
          <w:szCs w:val="32"/>
        </w:rPr>
        <w:t>继续贯彻过紧日子要求，</w:t>
      </w:r>
      <w:r>
        <w:rPr>
          <w:rFonts w:hint="eastAsia" w:ascii="仿宋_GB2312" w:eastAsia="仿宋_GB2312"/>
          <w:sz w:val="32"/>
          <w:szCs w:val="32"/>
        </w:rPr>
        <w:t>严格管理，严控三公经费支出。</w:t>
      </w:r>
    </w:p>
    <w:p>
      <w:pPr>
        <w:spacing w:line="560" w:lineRule="exact"/>
        <w:ind w:firstLine="632" w:firstLineChars="200"/>
        <w:rPr>
          <w:rFonts w:hint="eastAsia" w:ascii="楷体_GB2312" w:eastAsia="楷体_GB2312"/>
          <w:sz w:val="32"/>
          <w:szCs w:val="32"/>
        </w:rPr>
      </w:pPr>
      <w:r>
        <w:rPr>
          <w:rFonts w:hint="eastAsia" w:ascii="楷体_GB2312" w:eastAsia="楷体_GB2312"/>
          <w:sz w:val="32"/>
          <w:szCs w:val="32"/>
        </w:rPr>
        <w:t>2.“三公”经费支出决算具体情况</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（1）因公出国（境）费年初预算为2</w:t>
      </w:r>
      <w:r>
        <w:rPr>
          <w:rFonts w:ascii="仿宋_GB2312" w:eastAsia="仿宋_GB2312"/>
          <w:sz w:val="32"/>
          <w:szCs w:val="32"/>
        </w:rPr>
        <w:t>.8</w:t>
      </w:r>
      <w:r>
        <w:rPr>
          <w:rFonts w:hint="eastAsia" w:ascii="仿宋_GB2312" w:eastAsia="仿宋_GB2312"/>
          <w:sz w:val="32"/>
          <w:szCs w:val="32"/>
        </w:rPr>
        <w:t xml:space="preserve">万元，支出决算为 </w:t>
      </w:r>
      <w:r>
        <w:rPr>
          <w:rFonts w:ascii="仿宋_GB2312" w:eastAsia="仿宋_GB2312"/>
          <w:sz w:val="32"/>
          <w:szCs w:val="32"/>
        </w:rPr>
        <w:t>0</w:t>
      </w:r>
      <w:r>
        <w:rPr>
          <w:rFonts w:hint="eastAsia" w:ascii="仿宋_GB2312" w:eastAsia="仿宋_GB2312"/>
          <w:sz w:val="32"/>
          <w:szCs w:val="32"/>
        </w:rPr>
        <w:t xml:space="preserve"> 万元，比年初预算减少</w:t>
      </w:r>
      <w:r>
        <w:rPr>
          <w:rFonts w:ascii="仿宋_GB2312" w:eastAsia="仿宋_GB2312"/>
          <w:sz w:val="32"/>
          <w:szCs w:val="32"/>
        </w:rPr>
        <w:t>2.8</w:t>
      </w:r>
      <w:r>
        <w:rPr>
          <w:rFonts w:hint="eastAsia" w:ascii="仿宋_GB2312" w:eastAsia="仿宋_GB2312"/>
          <w:sz w:val="32"/>
          <w:szCs w:val="32"/>
        </w:rPr>
        <w:t>万元，完成年初预算的</w:t>
      </w:r>
      <w:r>
        <w:rPr>
          <w:rFonts w:ascii="仿宋_GB2312" w:eastAsia="仿宋_GB2312"/>
          <w:sz w:val="32"/>
          <w:szCs w:val="32"/>
        </w:rPr>
        <w:t>0</w:t>
      </w:r>
      <w:r>
        <w:rPr>
          <w:rFonts w:hint="eastAsia" w:ascii="仿宋_GB2312" w:eastAsia="仿宋_GB2312"/>
          <w:sz w:val="32"/>
          <w:szCs w:val="32"/>
        </w:rPr>
        <w:t>%，决算数小于年初预算数的主要原因是</w:t>
      </w:r>
      <w:r>
        <w:rPr>
          <w:rFonts w:hint="eastAsia" w:ascii="仿宋_GB2312" w:hAnsi="仿宋_GB2312" w:eastAsia="仿宋_GB2312" w:cs="仿宋_GB2312"/>
          <w:sz w:val="32"/>
          <w:szCs w:val="32"/>
        </w:rPr>
        <w:t>继续贯彻过紧日子要求和</w:t>
      </w:r>
      <w:r>
        <w:rPr>
          <w:rFonts w:hint="eastAsia" w:ascii="仿宋_GB2312" w:eastAsia="仿宋_GB2312"/>
          <w:sz w:val="32"/>
          <w:szCs w:val="32"/>
        </w:rPr>
        <w:t>工作任务调整，20</w:t>
      </w:r>
      <w:r>
        <w:rPr>
          <w:rFonts w:ascii="仿宋_GB2312" w:eastAsia="仿宋_GB2312"/>
          <w:sz w:val="32"/>
          <w:szCs w:val="32"/>
        </w:rPr>
        <w:t>20</w:t>
      </w:r>
      <w:r>
        <w:rPr>
          <w:rFonts w:hint="eastAsia" w:ascii="仿宋_GB2312" w:eastAsia="仿宋_GB2312"/>
          <w:sz w:val="32"/>
          <w:szCs w:val="32"/>
        </w:rPr>
        <w:t>年因全球疫情原因暂停了出国团组任务。</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（2）公务用车购置及运行维护费年初预算为1</w:t>
      </w:r>
      <w:r>
        <w:rPr>
          <w:rFonts w:ascii="仿宋_GB2312" w:eastAsia="仿宋_GB2312"/>
          <w:sz w:val="32"/>
          <w:szCs w:val="32"/>
        </w:rPr>
        <w:t>.6</w:t>
      </w:r>
      <w:r>
        <w:rPr>
          <w:rFonts w:hint="eastAsia" w:ascii="仿宋_GB2312" w:eastAsia="仿宋_GB2312"/>
          <w:sz w:val="32"/>
          <w:szCs w:val="32"/>
        </w:rPr>
        <w:t>万元，支出决算为</w:t>
      </w:r>
      <w:r>
        <w:rPr>
          <w:rFonts w:ascii="仿宋_GB2312" w:eastAsia="仿宋_GB2312"/>
          <w:sz w:val="32"/>
          <w:szCs w:val="32"/>
        </w:rPr>
        <w:t>0</w:t>
      </w:r>
      <w:r>
        <w:rPr>
          <w:rFonts w:hint="eastAsia" w:ascii="仿宋_GB2312" w:eastAsia="仿宋_GB2312"/>
          <w:sz w:val="32"/>
          <w:szCs w:val="32"/>
        </w:rPr>
        <w:t>万元，比年初预算减少</w:t>
      </w:r>
      <w:r>
        <w:rPr>
          <w:rFonts w:ascii="仿宋_GB2312" w:eastAsia="仿宋_GB2312"/>
          <w:sz w:val="32"/>
          <w:szCs w:val="32"/>
        </w:rPr>
        <w:t>1.6</w:t>
      </w:r>
      <w:r>
        <w:rPr>
          <w:rFonts w:hint="eastAsia" w:ascii="仿宋_GB2312" w:eastAsia="仿宋_GB2312"/>
          <w:sz w:val="32"/>
          <w:szCs w:val="32"/>
        </w:rPr>
        <w:t>万元，完成年初预算的</w:t>
      </w:r>
      <w:r>
        <w:rPr>
          <w:rFonts w:ascii="仿宋_GB2312" w:eastAsia="仿宋_GB2312"/>
          <w:sz w:val="32"/>
          <w:szCs w:val="32"/>
        </w:rPr>
        <w:t>0</w:t>
      </w:r>
      <w:r>
        <w:rPr>
          <w:rFonts w:hint="eastAsia" w:ascii="仿宋_GB2312" w:eastAsia="仿宋_GB2312"/>
          <w:sz w:val="32"/>
          <w:szCs w:val="32"/>
        </w:rPr>
        <w:t>%， 决算数小于年初预算数的主要原因是</w:t>
      </w:r>
      <w:r>
        <w:rPr>
          <w:rFonts w:hint="eastAsia" w:ascii="仿宋_GB2312" w:hAnsi="仿宋_GB2312" w:eastAsia="仿宋_GB2312" w:cs="仿宋_GB2312"/>
          <w:sz w:val="32"/>
          <w:szCs w:val="32"/>
        </w:rPr>
        <w:t>贯彻过紧日子要求，</w:t>
      </w:r>
      <w:r>
        <w:rPr>
          <w:rFonts w:hint="eastAsia" w:ascii="仿宋_GB2312" w:eastAsia="仿宋_GB2312"/>
          <w:sz w:val="32"/>
          <w:szCs w:val="32"/>
        </w:rPr>
        <w:t>加强车辆管理，各项费用减少。其中：</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公务用车购置费支出</w:t>
      </w:r>
      <w:r>
        <w:rPr>
          <w:rFonts w:ascii="仿宋_GB2312" w:eastAsia="仿宋_GB2312"/>
          <w:sz w:val="32"/>
          <w:szCs w:val="32"/>
        </w:rPr>
        <w:t>0</w:t>
      </w:r>
      <w:r>
        <w:rPr>
          <w:rFonts w:hint="eastAsia" w:ascii="仿宋_GB2312" w:eastAsia="仿宋_GB2312"/>
          <w:sz w:val="32"/>
          <w:szCs w:val="32"/>
        </w:rPr>
        <w:t>万元，2020年未使用财政拨款购置公务用车。</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公务用车运行维护费</w:t>
      </w:r>
      <w:r>
        <w:rPr>
          <w:rFonts w:ascii="仿宋_GB2312" w:eastAsia="仿宋_GB2312"/>
          <w:sz w:val="32"/>
          <w:szCs w:val="32"/>
        </w:rPr>
        <w:t>0</w:t>
      </w:r>
      <w:r>
        <w:rPr>
          <w:rFonts w:hint="eastAsia" w:ascii="仿宋_GB2312" w:eastAsia="仿宋_GB2312"/>
          <w:sz w:val="32"/>
          <w:szCs w:val="32"/>
        </w:rPr>
        <w:t>万元，主要是按规定保留的公务用车的燃料费、维修费、保险费等支出。截至2020年12月31日，财政拨款开支运行维护费的公务用车保有量为</w:t>
      </w:r>
      <w:r>
        <w:rPr>
          <w:rFonts w:ascii="仿宋_GB2312" w:eastAsia="仿宋_GB2312"/>
          <w:sz w:val="32"/>
          <w:szCs w:val="32"/>
        </w:rPr>
        <w:t>1</w:t>
      </w:r>
      <w:r>
        <w:rPr>
          <w:rFonts w:hint="eastAsia" w:ascii="仿宋_GB2312" w:eastAsia="仿宋_GB2312"/>
          <w:sz w:val="32"/>
          <w:szCs w:val="32"/>
        </w:rPr>
        <w:t>辆。</w:t>
      </w:r>
    </w:p>
    <w:p>
      <w:pPr>
        <w:spacing w:line="580" w:lineRule="exact"/>
        <w:ind w:firstLine="600"/>
        <w:rPr>
          <w:rFonts w:hint="eastAsia" w:ascii="仿宋_GB2312" w:eastAsia="仿宋_GB2312"/>
          <w:sz w:val="32"/>
          <w:szCs w:val="32"/>
        </w:rPr>
      </w:pPr>
      <w:r>
        <w:rPr>
          <w:rFonts w:hint="eastAsia" w:ascii="仿宋_GB2312" w:eastAsia="仿宋_GB2312"/>
          <w:sz w:val="32"/>
          <w:szCs w:val="32"/>
        </w:rPr>
        <w:t>（3）公务接待费年初预算为0</w:t>
      </w:r>
      <w:r>
        <w:rPr>
          <w:rFonts w:ascii="仿宋_GB2312" w:eastAsia="仿宋_GB2312"/>
          <w:sz w:val="32"/>
          <w:szCs w:val="32"/>
        </w:rPr>
        <w:t>.5</w:t>
      </w:r>
      <w:r>
        <w:rPr>
          <w:rFonts w:hint="eastAsia" w:ascii="仿宋_GB2312" w:eastAsia="仿宋_GB2312"/>
          <w:sz w:val="32"/>
          <w:szCs w:val="32"/>
        </w:rPr>
        <w:t>万元，支出决算为0</w:t>
      </w:r>
      <w:r>
        <w:rPr>
          <w:rFonts w:ascii="仿宋_GB2312" w:eastAsia="仿宋_GB2312"/>
          <w:sz w:val="32"/>
          <w:szCs w:val="32"/>
        </w:rPr>
        <w:t>.19</w:t>
      </w:r>
      <w:r>
        <w:rPr>
          <w:rFonts w:hint="eastAsia" w:ascii="仿宋_GB2312" w:eastAsia="仿宋_GB2312"/>
          <w:sz w:val="32"/>
          <w:szCs w:val="32"/>
        </w:rPr>
        <w:t>万元，比年初预算减少</w:t>
      </w:r>
      <w:r>
        <w:rPr>
          <w:rFonts w:ascii="仿宋_GB2312" w:eastAsia="仿宋_GB2312"/>
          <w:sz w:val="32"/>
          <w:szCs w:val="32"/>
        </w:rPr>
        <w:t>0.31</w:t>
      </w:r>
      <w:r>
        <w:rPr>
          <w:rFonts w:hint="eastAsia" w:ascii="仿宋_GB2312" w:eastAsia="仿宋_GB2312"/>
          <w:sz w:val="32"/>
          <w:szCs w:val="32"/>
        </w:rPr>
        <w:t>万元，完成年初预算的6</w:t>
      </w:r>
      <w:r>
        <w:rPr>
          <w:rFonts w:ascii="仿宋_GB2312" w:eastAsia="仿宋_GB2312"/>
          <w:sz w:val="32"/>
          <w:szCs w:val="32"/>
        </w:rPr>
        <w:t>2</w:t>
      </w:r>
      <w:r>
        <w:rPr>
          <w:rFonts w:hint="eastAsia" w:ascii="仿宋_GB2312" w:eastAsia="仿宋_GB2312"/>
          <w:sz w:val="32"/>
          <w:szCs w:val="32"/>
        </w:rPr>
        <w:t>%，决算数小于年初预算数的主要原因是严格执行中央八项规定，严控公务接待费支出。20</w:t>
      </w:r>
      <w:r>
        <w:rPr>
          <w:rFonts w:ascii="仿宋_GB2312" w:eastAsia="仿宋_GB2312"/>
          <w:sz w:val="32"/>
          <w:szCs w:val="32"/>
        </w:rPr>
        <w:t>20</w:t>
      </w:r>
      <w:r>
        <w:rPr>
          <w:rFonts w:hint="eastAsia" w:ascii="仿宋_GB2312" w:eastAsia="仿宋_GB2312"/>
          <w:sz w:val="32"/>
          <w:szCs w:val="32"/>
        </w:rPr>
        <w:t>年度公务接待全部为国内公务接待，主要用于系统各单位开展标准化交流工作的接待支出等，共计接待</w:t>
      </w:r>
      <w:r>
        <w:rPr>
          <w:rFonts w:ascii="仿宋_GB2312" w:eastAsia="仿宋_GB2312"/>
          <w:sz w:val="32"/>
          <w:szCs w:val="32"/>
        </w:rPr>
        <w:t>2</w:t>
      </w:r>
      <w:r>
        <w:rPr>
          <w:rFonts w:hint="eastAsia" w:ascii="仿宋_GB2312" w:eastAsia="仿宋_GB2312"/>
          <w:sz w:val="32"/>
          <w:szCs w:val="32"/>
        </w:rPr>
        <w:t>批次，</w:t>
      </w:r>
      <w:r>
        <w:rPr>
          <w:rFonts w:ascii="仿宋_GB2312" w:eastAsia="仿宋_GB2312"/>
          <w:sz w:val="32"/>
          <w:szCs w:val="32"/>
        </w:rPr>
        <w:t>10</w:t>
      </w:r>
      <w:r>
        <w:rPr>
          <w:rFonts w:hint="eastAsia" w:ascii="仿宋_GB2312" w:eastAsia="仿宋_GB2312"/>
          <w:sz w:val="32"/>
          <w:szCs w:val="32"/>
        </w:rPr>
        <w:t>人次。</w:t>
      </w:r>
    </w:p>
    <w:p>
      <w:pPr>
        <w:spacing w:line="560" w:lineRule="exact"/>
        <w:ind w:firstLine="632" w:firstLineChars="200"/>
        <w:rPr>
          <w:rFonts w:hint="eastAsia" w:ascii="楷体_GB2312" w:hAnsi="黑体" w:eastAsia="楷体_GB2312"/>
          <w:sz w:val="32"/>
          <w:szCs w:val="32"/>
        </w:rPr>
      </w:pPr>
      <w:r>
        <w:rPr>
          <w:rFonts w:hint="eastAsia" w:ascii="楷体_GB2312" w:hAnsi="黑体" w:eastAsia="楷体_GB2312"/>
          <w:sz w:val="32"/>
          <w:szCs w:val="32"/>
        </w:rPr>
        <w:t>（八）政府性基金预算财政拨款收入支出决算情况说明</w:t>
      </w:r>
    </w:p>
    <w:p>
      <w:pPr>
        <w:spacing w:line="560" w:lineRule="exact"/>
        <w:ind w:firstLine="632" w:firstLineChars="200"/>
        <w:rPr>
          <w:rFonts w:hint="eastAsia" w:ascii="楷体_GB2312" w:hAnsi="黑体" w:eastAsia="楷体_GB2312"/>
          <w:sz w:val="32"/>
          <w:szCs w:val="32"/>
        </w:rPr>
      </w:pPr>
      <w:r>
        <w:rPr>
          <w:rFonts w:hint="eastAsia" w:ascii="楷体_GB2312" w:hAnsi="黑体" w:eastAsia="楷体_GB2312"/>
          <w:sz w:val="32"/>
          <w:szCs w:val="32"/>
        </w:rPr>
        <w:t>本单位没有政府性基金财政拨款收支。</w:t>
      </w:r>
    </w:p>
    <w:p>
      <w:pPr>
        <w:spacing w:line="560" w:lineRule="exact"/>
        <w:ind w:firstLine="632" w:firstLineChars="200"/>
        <w:rPr>
          <w:rFonts w:hint="eastAsia" w:ascii="楷体_GB2312" w:hAnsi="黑体" w:eastAsia="楷体_GB2312"/>
          <w:sz w:val="32"/>
          <w:szCs w:val="32"/>
        </w:rPr>
      </w:pPr>
      <w:r>
        <w:rPr>
          <w:rFonts w:hint="eastAsia" w:ascii="楷体_GB2312" w:hAnsi="黑体" w:eastAsia="楷体_GB2312"/>
          <w:sz w:val="32"/>
          <w:szCs w:val="32"/>
        </w:rPr>
        <w:t>（九）国有资本经营预算财政拨款支出决算情况说明</w:t>
      </w:r>
    </w:p>
    <w:p>
      <w:pPr>
        <w:spacing w:line="560" w:lineRule="exact"/>
        <w:ind w:firstLine="632" w:firstLineChars="200"/>
        <w:rPr>
          <w:rFonts w:hint="eastAsia" w:ascii="楷体_GB2312" w:hAnsi="黑体" w:eastAsia="楷体_GB2312"/>
          <w:sz w:val="32"/>
          <w:szCs w:val="32"/>
        </w:rPr>
      </w:pPr>
      <w:r>
        <w:rPr>
          <w:rFonts w:hint="eastAsia" w:ascii="楷体_GB2312" w:hAnsi="黑体" w:eastAsia="楷体_GB2312"/>
          <w:sz w:val="32"/>
          <w:szCs w:val="32"/>
        </w:rPr>
        <w:t>本单位没有国有资本经营预算财政拨款支出。</w:t>
      </w:r>
    </w:p>
    <w:p>
      <w:pPr>
        <w:spacing w:line="560" w:lineRule="exact"/>
        <w:ind w:firstLine="632" w:firstLineChars="200"/>
        <w:rPr>
          <w:rFonts w:hint="eastAsia" w:ascii="黑体" w:hAnsi="黑体" w:eastAsia="黑体"/>
          <w:sz w:val="32"/>
          <w:szCs w:val="32"/>
        </w:rPr>
      </w:pPr>
      <w:r>
        <w:rPr>
          <w:rFonts w:hint="eastAsia" w:ascii="黑体" w:hAnsi="黑体" w:eastAsia="黑体"/>
          <w:sz w:val="32"/>
          <w:szCs w:val="32"/>
        </w:rPr>
        <w:t xml:space="preserve">二、其他重要事项情况说明 </w:t>
      </w:r>
    </w:p>
    <w:p>
      <w:pPr>
        <w:spacing w:line="560" w:lineRule="exact"/>
        <w:ind w:firstLine="632" w:firstLineChars="200"/>
        <w:rPr>
          <w:rFonts w:hint="eastAsia" w:ascii="楷体_GB2312" w:eastAsia="楷体_GB2312"/>
          <w:sz w:val="32"/>
          <w:szCs w:val="32"/>
        </w:rPr>
      </w:pPr>
      <w:r>
        <w:rPr>
          <w:rFonts w:hint="eastAsia" w:ascii="楷体_GB2312" w:eastAsia="楷体_GB2312"/>
          <w:sz w:val="32"/>
          <w:szCs w:val="32"/>
        </w:rPr>
        <w:t>（一）机关运行经费支出情况</w:t>
      </w:r>
    </w:p>
    <w:p>
      <w:pPr>
        <w:spacing w:line="560" w:lineRule="exact"/>
        <w:ind w:firstLine="632" w:firstLineChars="200"/>
        <w:rPr>
          <w:rFonts w:hint="eastAsia" w:ascii="仿宋_GB2312" w:eastAsia="仿宋_GB2312"/>
          <w:b/>
          <w:sz w:val="32"/>
          <w:szCs w:val="32"/>
        </w:rPr>
      </w:pPr>
      <w:r>
        <w:rPr>
          <w:rFonts w:hint="eastAsia" w:ascii="楷体_GB2312" w:hAnsi="黑体" w:eastAsia="楷体_GB2312"/>
          <w:sz w:val="32"/>
          <w:szCs w:val="32"/>
        </w:rPr>
        <w:t>本单位无一般公共预算安排的机关运行经费支出。</w:t>
      </w:r>
    </w:p>
    <w:p>
      <w:pPr>
        <w:spacing w:line="560" w:lineRule="exact"/>
        <w:ind w:firstLine="632" w:firstLineChars="200"/>
        <w:rPr>
          <w:rFonts w:hint="eastAsia" w:ascii="楷体_GB2312" w:eastAsia="楷体_GB2312"/>
          <w:sz w:val="32"/>
          <w:szCs w:val="32"/>
        </w:rPr>
      </w:pPr>
      <w:r>
        <w:rPr>
          <w:rFonts w:hint="eastAsia" w:ascii="楷体_GB2312" w:eastAsia="楷体_GB2312"/>
          <w:sz w:val="32"/>
          <w:szCs w:val="32"/>
        </w:rPr>
        <w:t>（二）政府采购支出情况</w:t>
      </w:r>
    </w:p>
    <w:p>
      <w:pPr>
        <w:autoSpaceDE w:val="0"/>
        <w:autoSpaceDN w:val="0"/>
        <w:adjustRightInd w:val="0"/>
        <w:spacing w:line="560" w:lineRule="exact"/>
        <w:ind w:firstLine="632"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2020年度政府采购支出总额</w:t>
      </w:r>
      <w:r>
        <w:rPr>
          <w:rFonts w:ascii="仿宋_GB2312" w:hAnsi="宋体" w:eastAsia="仿宋_GB2312" w:cs="Courier New"/>
          <w:sz w:val="32"/>
          <w:szCs w:val="32"/>
        </w:rPr>
        <w:t>118.37</w:t>
      </w:r>
      <w:r>
        <w:rPr>
          <w:rFonts w:hint="eastAsia" w:ascii="仿宋_GB2312" w:hAnsi="宋体" w:eastAsia="仿宋_GB2312" w:cs="Courier New"/>
          <w:sz w:val="32"/>
          <w:szCs w:val="32"/>
        </w:rPr>
        <w:t>万元，其中：政府采购货物支出</w:t>
      </w:r>
      <w:r>
        <w:rPr>
          <w:rFonts w:ascii="仿宋_GB2312" w:hAnsi="宋体" w:eastAsia="仿宋_GB2312" w:cs="Courier New"/>
          <w:sz w:val="32"/>
          <w:szCs w:val="32"/>
        </w:rPr>
        <w:t>82.80</w:t>
      </w:r>
      <w:r>
        <w:rPr>
          <w:rFonts w:hint="eastAsia" w:ascii="仿宋_GB2312" w:hAnsi="宋体" w:eastAsia="仿宋_GB2312" w:cs="Courier New"/>
          <w:sz w:val="32"/>
          <w:szCs w:val="32"/>
        </w:rPr>
        <w:t xml:space="preserve">万元、政府采购工程支出0万元、政府采购服务支出  </w:t>
      </w:r>
      <w:r>
        <w:rPr>
          <w:rFonts w:ascii="仿宋_GB2312" w:hAnsi="宋体" w:eastAsia="仿宋_GB2312" w:cs="Courier New"/>
          <w:sz w:val="32"/>
          <w:szCs w:val="32"/>
        </w:rPr>
        <w:t>35.57</w:t>
      </w:r>
      <w:r>
        <w:rPr>
          <w:rFonts w:hint="eastAsia" w:ascii="仿宋_GB2312" w:hAnsi="宋体" w:eastAsia="仿宋_GB2312" w:cs="Courier New"/>
          <w:sz w:val="32"/>
          <w:szCs w:val="32"/>
        </w:rPr>
        <w:t>万元。授予中小企业合同金额</w:t>
      </w:r>
      <w:r>
        <w:rPr>
          <w:rFonts w:ascii="仿宋_GB2312" w:hAnsi="宋体" w:eastAsia="仿宋_GB2312" w:cs="Courier New"/>
          <w:sz w:val="32"/>
          <w:szCs w:val="32"/>
        </w:rPr>
        <w:t>7.40</w:t>
      </w:r>
      <w:r>
        <w:rPr>
          <w:rFonts w:hint="eastAsia" w:ascii="仿宋_GB2312" w:hAnsi="宋体" w:eastAsia="仿宋_GB2312" w:cs="Courier New"/>
          <w:sz w:val="32"/>
          <w:szCs w:val="32"/>
        </w:rPr>
        <w:t>万元，占政府采购支出总额的</w:t>
      </w:r>
      <w:r>
        <w:rPr>
          <w:rFonts w:ascii="仿宋_GB2312" w:hAnsi="宋体" w:eastAsia="仿宋_GB2312" w:cs="Courier New"/>
          <w:sz w:val="32"/>
          <w:szCs w:val="32"/>
        </w:rPr>
        <w:t>6.25</w:t>
      </w:r>
      <w:r>
        <w:rPr>
          <w:rFonts w:hint="eastAsia" w:ascii="仿宋_GB2312" w:hAnsi="宋体" w:eastAsia="仿宋_GB2312" w:cs="Courier New"/>
          <w:sz w:val="32"/>
          <w:szCs w:val="32"/>
        </w:rPr>
        <w:t>%，其中：授予小微企业合同金额</w:t>
      </w:r>
      <w:r>
        <w:rPr>
          <w:rFonts w:ascii="仿宋_GB2312" w:hAnsi="宋体" w:eastAsia="仿宋_GB2312" w:cs="Courier New"/>
          <w:sz w:val="32"/>
          <w:szCs w:val="32"/>
        </w:rPr>
        <w:t>7.4</w:t>
      </w:r>
      <w:r>
        <w:rPr>
          <w:rFonts w:hint="eastAsia" w:ascii="仿宋_GB2312" w:hAnsi="宋体" w:eastAsia="仿宋_GB2312" w:cs="Courier New"/>
          <w:sz w:val="32"/>
          <w:szCs w:val="32"/>
        </w:rPr>
        <w:t>万元，占政府采购支出总额的</w:t>
      </w:r>
      <w:r>
        <w:rPr>
          <w:rFonts w:ascii="仿宋_GB2312" w:hAnsi="宋体" w:eastAsia="仿宋_GB2312" w:cs="Courier New"/>
          <w:sz w:val="32"/>
          <w:szCs w:val="32"/>
        </w:rPr>
        <w:t>6.25</w:t>
      </w:r>
      <w:r>
        <w:rPr>
          <w:rFonts w:hint="eastAsia" w:ascii="仿宋_GB2312" w:hAnsi="宋体" w:eastAsia="仿宋_GB2312" w:cs="Courier New"/>
          <w:sz w:val="32"/>
          <w:szCs w:val="32"/>
        </w:rPr>
        <w:t>%。</w:t>
      </w:r>
    </w:p>
    <w:p>
      <w:pPr>
        <w:spacing w:line="560" w:lineRule="exact"/>
        <w:ind w:firstLine="632" w:firstLineChars="200"/>
        <w:rPr>
          <w:rFonts w:hint="eastAsia" w:ascii="楷体_GB2312" w:eastAsia="楷体_GB2312"/>
          <w:sz w:val="32"/>
          <w:szCs w:val="32"/>
          <w:highlight w:val="yellow"/>
        </w:rPr>
      </w:pPr>
      <w:r>
        <w:rPr>
          <w:rFonts w:hint="eastAsia" w:ascii="楷体_GB2312" w:eastAsia="楷体_GB2312"/>
          <w:sz w:val="32"/>
          <w:szCs w:val="32"/>
        </w:rPr>
        <w:t>（三）国有资产占用情况</w:t>
      </w:r>
    </w:p>
    <w:p>
      <w:pPr>
        <w:spacing w:line="560" w:lineRule="exact"/>
        <w:ind w:firstLine="632" w:firstLineChars="200"/>
        <w:rPr>
          <w:rFonts w:hint="eastAsia" w:ascii="仿宋_GB2312" w:eastAsia="仿宋_GB2312"/>
          <w:sz w:val="32"/>
          <w:szCs w:val="32"/>
        </w:rPr>
      </w:pPr>
      <w:r>
        <w:rPr>
          <w:rFonts w:hint="eastAsia" w:ascii="仿宋_GB2312" w:eastAsia="仿宋_GB2312"/>
          <w:sz w:val="32"/>
          <w:szCs w:val="32"/>
        </w:rPr>
        <w:t>截至2020年12月31日，本单位共有车辆</w:t>
      </w:r>
      <w:r>
        <w:rPr>
          <w:rFonts w:ascii="仿宋_GB2312" w:eastAsia="仿宋_GB2312"/>
          <w:sz w:val="32"/>
          <w:szCs w:val="32"/>
        </w:rPr>
        <w:t>1</w:t>
      </w:r>
      <w:r>
        <w:rPr>
          <w:rFonts w:hint="eastAsia" w:ascii="仿宋_GB2312" w:eastAsia="仿宋_GB2312"/>
          <w:sz w:val="32"/>
          <w:szCs w:val="32"/>
        </w:rPr>
        <w:t>辆，其中，符合规定领导干部用车</w:t>
      </w:r>
      <w:r>
        <w:rPr>
          <w:rFonts w:ascii="仿宋_GB2312" w:eastAsia="仿宋_GB2312"/>
          <w:sz w:val="32"/>
          <w:szCs w:val="32"/>
        </w:rPr>
        <w:t>0</w:t>
      </w:r>
      <w:r>
        <w:rPr>
          <w:rFonts w:hint="eastAsia" w:ascii="仿宋_GB2312" w:eastAsia="仿宋_GB2312"/>
          <w:sz w:val="32"/>
          <w:szCs w:val="32"/>
        </w:rPr>
        <w:t>辆、机要通信用车0辆、应急保障用车0辆、执法执勤用车0辆、特种专业技术用车</w:t>
      </w:r>
      <w:r>
        <w:rPr>
          <w:rFonts w:ascii="仿宋_GB2312" w:eastAsia="仿宋_GB2312"/>
          <w:sz w:val="32"/>
          <w:szCs w:val="32"/>
        </w:rPr>
        <w:t>0</w:t>
      </w:r>
      <w:r>
        <w:rPr>
          <w:rFonts w:hint="eastAsia" w:ascii="仿宋_GB2312" w:eastAsia="仿宋_GB2312"/>
          <w:sz w:val="32"/>
          <w:szCs w:val="32"/>
        </w:rPr>
        <w:t>辆、离退休干部用车</w:t>
      </w:r>
      <w:r>
        <w:rPr>
          <w:rFonts w:ascii="仿宋_GB2312" w:eastAsia="仿宋_GB2312"/>
          <w:sz w:val="32"/>
          <w:szCs w:val="32"/>
        </w:rPr>
        <w:t>0</w:t>
      </w:r>
      <w:r>
        <w:rPr>
          <w:rFonts w:hint="eastAsia" w:ascii="仿宋_GB2312" w:eastAsia="仿宋_GB2312"/>
          <w:sz w:val="32"/>
          <w:szCs w:val="32"/>
        </w:rPr>
        <w:t>辆、其他用车1辆，其他用车主要是业务用车；单位价值 50 万元以上通用设备</w:t>
      </w:r>
      <w:r>
        <w:rPr>
          <w:rFonts w:ascii="仿宋_GB2312" w:eastAsia="仿宋_GB2312"/>
          <w:sz w:val="32"/>
          <w:szCs w:val="32"/>
        </w:rPr>
        <w:t>0</w:t>
      </w:r>
      <w:r>
        <w:rPr>
          <w:rFonts w:hint="eastAsia" w:ascii="仿宋_GB2312" w:eastAsia="仿宋_GB2312"/>
          <w:sz w:val="32"/>
          <w:szCs w:val="32"/>
        </w:rPr>
        <w:t>台（套）；单位价值 100 万元以上专用设备</w:t>
      </w:r>
      <w:r>
        <w:rPr>
          <w:rFonts w:ascii="仿宋_GB2312" w:eastAsia="仿宋_GB2312"/>
          <w:sz w:val="32"/>
          <w:szCs w:val="32"/>
        </w:rPr>
        <w:t>0</w:t>
      </w:r>
      <w:r>
        <w:rPr>
          <w:rFonts w:hint="eastAsia" w:ascii="仿宋_GB2312" w:eastAsia="仿宋_GB2312"/>
          <w:sz w:val="32"/>
          <w:szCs w:val="32"/>
        </w:rPr>
        <w:t>台（套）。</w:t>
      </w: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spacing w:line="580" w:lineRule="exact"/>
        <w:ind w:firstLine="200"/>
        <w:rPr>
          <w:rFonts w:hint="eastAsia" w:ascii="方正小标宋简体" w:eastAsia="方正小标宋简体"/>
          <w:sz w:val="42"/>
        </w:rPr>
      </w:pPr>
    </w:p>
    <w:p>
      <w:pPr>
        <w:spacing w:line="580" w:lineRule="exact"/>
        <w:ind w:firstLine="200"/>
        <w:rPr>
          <w:rFonts w:hint="eastAsia" w:ascii="方正小标宋简体" w:eastAsia="方正小标宋简体"/>
          <w:sz w:val="42"/>
        </w:rPr>
      </w:pPr>
    </w:p>
    <w:p>
      <w:pPr>
        <w:spacing w:line="580" w:lineRule="exact"/>
        <w:ind w:firstLine="200"/>
        <w:rPr>
          <w:rFonts w:hint="eastAsia" w:ascii="方正小标宋简体" w:eastAsia="方正小标宋简体"/>
          <w:sz w:val="42"/>
        </w:rPr>
      </w:pPr>
    </w:p>
    <w:p>
      <w:pPr>
        <w:spacing w:line="580" w:lineRule="exact"/>
        <w:ind w:firstLine="200"/>
        <w:rPr>
          <w:rFonts w:hint="eastAsia" w:ascii="方正小标宋简体" w:eastAsia="方正小标宋简体"/>
          <w:sz w:val="42"/>
        </w:rPr>
      </w:pPr>
    </w:p>
    <w:p>
      <w:pPr>
        <w:rPr>
          <w:rFonts w:hint="eastAsia" w:ascii="黑体" w:eastAsia="黑体"/>
          <w:sz w:val="52"/>
          <w:szCs w:val="52"/>
        </w:rPr>
      </w:pPr>
      <w:r>
        <w:rPr>
          <w:rFonts w:hint="eastAsia" w:ascii="黑体" w:eastAsia="黑体"/>
          <w:sz w:val="52"/>
          <w:szCs w:val="52"/>
        </w:rPr>
        <w:t xml:space="preserve">  第四部分</w:t>
      </w:r>
    </w:p>
    <w:p>
      <w:pPr>
        <w:jc w:val="center"/>
        <w:rPr>
          <w:rFonts w:hint="eastAsia" w:ascii="黑体" w:eastAsia="黑体"/>
          <w:sz w:val="52"/>
          <w:szCs w:val="52"/>
        </w:rPr>
      </w:pPr>
    </w:p>
    <w:p>
      <w:pPr>
        <w:jc w:val="center"/>
        <w:rPr>
          <w:rFonts w:hint="eastAsia" w:ascii="黑体" w:eastAsia="黑体"/>
          <w:sz w:val="52"/>
          <w:szCs w:val="52"/>
        </w:rPr>
      </w:pPr>
      <w:r>
        <w:rPr>
          <w:rFonts w:hint="eastAsia" w:ascii="黑体" w:eastAsia="黑体"/>
          <w:sz w:val="52"/>
          <w:szCs w:val="52"/>
        </w:rPr>
        <w:t>名词解释</w:t>
      </w:r>
    </w:p>
    <w:p>
      <w:pPr>
        <w:jc w:val="center"/>
        <w:rPr>
          <w:rFonts w:hint="eastAsia" w:ascii="黑体" w:eastAsia="黑体"/>
          <w:sz w:val="52"/>
          <w:szCs w:val="52"/>
        </w:rPr>
      </w:pPr>
    </w:p>
    <w:p>
      <w:pPr>
        <w:jc w:val="center"/>
        <w:rPr>
          <w:rFonts w:hint="eastAsia" w:ascii="黑体" w:hAnsi="黑体" w:eastAsia="黑体"/>
          <w:spacing w:val="60"/>
          <w:sz w:val="48"/>
          <w:szCs w:val="48"/>
        </w:rPr>
      </w:pPr>
    </w:p>
    <w:p>
      <w:pPr>
        <w:jc w:val="center"/>
        <w:rPr>
          <w:rFonts w:hint="eastAsia" w:ascii="方正小标宋简体" w:eastAsia="方正小标宋简体"/>
          <w:spacing w:val="60"/>
          <w:sz w:val="48"/>
        </w:rPr>
      </w:pPr>
    </w:p>
    <w:p>
      <w:pPr>
        <w:jc w:val="center"/>
        <w:rPr>
          <w:rFonts w:hint="eastAsia" w:ascii="方正小标宋简体" w:eastAsia="方正小标宋简体"/>
          <w:spacing w:val="60"/>
          <w:sz w:val="48"/>
        </w:rPr>
      </w:pPr>
    </w:p>
    <w:p>
      <w:pPr>
        <w:spacing w:line="580" w:lineRule="exact"/>
        <w:rPr>
          <w:rFonts w:hint="eastAsia" w:ascii="黑体" w:hAnsi="黑体" w:eastAsia="黑体"/>
          <w:color w:val="000000"/>
          <w:sz w:val="32"/>
          <w:szCs w:val="32"/>
        </w:rPr>
      </w:pPr>
    </w:p>
    <w:p>
      <w:pPr>
        <w:spacing w:line="580" w:lineRule="exact"/>
        <w:rPr>
          <w:rFonts w:hint="eastAsia" w:ascii="黑体" w:hAnsi="黑体" w:eastAsia="黑体"/>
          <w:color w:val="000000"/>
          <w:sz w:val="32"/>
          <w:szCs w:val="32"/>
        </w:rPr>
      </w:pPr>
    </w:p>
    <w:p>
      <w:pPr>
        <w:spacing w:line="580" w:lineRule="exact"/>
        <w:rPr>
          <w:rFonts w:hint="eastAsia" w:ascii="黑体" w:hAnsi="黑体" w:eastAsia="黑体"/>
          <w:color w:val="000000"/>
          <w:sz w:val="32"/>
          <w:szCs w:val="32"/>
        </w:rPr>
      </w:pPr>
    </w:p>
    <w:p>
      <w:pPr>
        <w:spacing w:line="580" w:lineRule="exact"/>
        <w:ind w:firstLine="632" w:firstLineChars="200"/>
        <w:rPr>
          <w:rFonts w:hint="eastAsia" w:ascii="黑体" w:hAnsi="黑体" w:eastAsia="黑体"/>
          <w:color w:val="000000"/>
          <w:sz w:val="32"/>
          <w:szCs w:val="32"/>
        </w:rPr>
      </w:pPr>
    </w:p>
    <w:p>
      <w:pPr>
        <w:spacing w:line="580" w:lineRule="exact"/>
        <w:ind w:firstLine="632" w:firstLineChars="200"/>
        <w:rPr>
          <w:rFonts w:hint="eastAsia" w:ascii="黑体" w:hAnsi="黑体" w:eastAsia="黑体"/>
          <w:color w:val="000000"/>
          <w:sz w:val="32"/>
          <w:szCs w:val="32"/>
        </w:rPr>
      </w:pPr>
    </w:p>
    <w:p>
      <w:pPr>
        <w:spacing w:line="560" w:lineRule="exact"/>
        <w:ind w:firstLine="632" w:firstLineChars="200"/>
        <w:rPr>
          <w:rFonts w:hint="eastAsia" w:ascii="仿宋_GB2312" w:eastAsia="仿宋_GB2312"/>
          <w:sz w:val="32"/>
          <w:szCs w:val="32"/>
        </w:rPr>
      </w:pPr>
      <w:r>
        <w:rPr>
          <w:rFonts w:hint="eastAsia" w:ascii="黑体" w:hAnsi="黑体" w:eastAsia="黑体"/>
          <w:color w:val="000000"/>
          <w:sz w:val="32"/>
          <w:szCs w:val="32"/>
        </w:rPr>
        <w:t>一、财政拨款收入：</w:t>
      </w:r>
      <w:r>
        <w:rPr>
          <w:rFonts w:hint="eastAsia" w:ascii="仿宋_GB2312" w:eastAsia="仿宋_GB2312"/>
          <w:sz w:val="32"/>
          <w:szCs w:val="32"/>
        </w:rPr>
        <w:t>指单位本年度从本级财政部门取得的财政拨款，包括一般公共预算财政拨款、政府性基金预算财政拨款和国有资本经营预算财政拨款。</w:t>
      </w:r>
    </w:p>
    <w:p>
      <w:pPr>
        <w:spacing w:line="560" w:lineRule="exact"/>
        <w:ind w:firstLine="632" w:firstLineChars="200"/>
        <w:rPr>
          <w:rFonts w:hint="eastAsia" w:ascii="仿宋_GB2312" w:hAnsi="仿宋" w:eastAsia="仿宋_GB2312"/>
          <w:sz w:val="32"/>
          <w:szCs w:val="32"/>
        </w:rPr>
      </w:pPr>
      <w:r>
        <w:rPr>
          <w:rFonts w:hint="eastAsia" w:ascii="黑体" w:hAnsi="黑体" w:eastAsia="黑体"/>
          <w:sz w:val="32"/>
          <w:szCs w:val="32"/>
        </w:rPr>
        <w:t>二、上级补助收入：</w:t>
      </w:r>
      <w:r>
        <w:rPr>
          <w:rFonts w:hint="eastAsia" w:ascii="仿宋_GB2312" w:hAnsi="仿宋" w:eastAsia="仿宋_GB2312"/>
          <w:sz w:val="32"/>
          <w:szCs w:val="32"/>
        </w:rPr>
        <w:t>指事业单位从主管部门和上级单位取得的非财政补助收入。</w:t>
      </w:r>
    </w:p>
    <w:p>
      <w:pPr>
        <w:spacing w:line="560" w:lineRule="exact"/>
        <w:ind w:firstLine="632" w:firstLineChars="200"/>
        <w:rPr>
          <w:rFonts w:hint="eastAsia" w:ascii="仿宋_GB2312" w:hAnsi="仿宋" w:eastAsia="仿宋_GB2312"/>
          <w:sz w:val="32"/>
          <w:szCs w:val="32"/>
        </w:rPr>
      </w:pPr>
      <w:r>
        <w:rPr>
          <w:rFonts w:hint="eastAsia" w:ascii="黑体" w:hAnsi="黑体" w:eastAsia="黑体"/>
          <w:sz w:val="32"/>
          <w:szCs w:val="32"/>
        </w:rPr>
        <w:t>三、事业收入：</w:t>
      </w:r>
      <w:r>
        <w:rPr>
          <w:rFonts w:hint="eastAsia" w:ascii="仿宋_GB2312" w:hAnsi="仿宋" w:eastAsia="仿宋_GB2312"/>
          <w:sz w:val="32"/>
          <w:szCs w:val="32"/>
        </w:rPr>
        <w:t>指事业单位开展专业业务活动及其辅助活动取得的收入；包括事业单位收到的财政专户实际核拨的教育收费等。</w:t>
      </w:r>
    </w:p>
    <w:p>
      <w:pPr>
        <w:spacing w:line="560" w:lineRule="exact"/>
        <w:ind w:firstLine="632" w:firstLineChars="200"/>
        <w:rPr>
          <w:rFonts w:hint="eastAsia" w:ascii="仿宋_GB2312" w:hAnsi="仿宋" w:eastAsia="仿宋_GB2312"/>
          <w:sz w:val="32"/>
          <w:szCs w:val="32"/>
        </w:rPr>
      </w:pPr>
      <w:r>
        <w:rPr>
          <w:rFonts w:hint="eastAsia" w:ascii="黑体" w:hAnsi="黑体" w:eastAsia="黑体"/>
          <w:sz w:val="32"/>
          <w:szCs w:val="32"/>
        </w:rPr>
        <w:t>四、经营收入：</w:t>
      </w:r>
      <w:r>
        <w:rPr>
          <w:rFonts w:hint="eastAsia" w:ascii="仿宋_GB2312" w:hAnsi="仿宋" w:eastAsia="仿宋_GB2312"/>
          <w:sz w:val="32"/>
          <w:szCs w:val="32"/>
        </w:rPr>
        <w:t>指事业单位在专业业务活动及其辅助活动之外开展非独立核算经营活动取得的收入。</w:t>
      </w:r>
    </w:p>
    <w:p>
      <w:pPr>
        <w:spacing w:line="560" w:lineRule="exact"/>
        <w:ind w:firstLine="632" w:firstLineChars="200"/>
        <w:rPr>
          <w:rFonts w:hint="eastAsia" w:ascii="仿宋_GB2312" w:hAnsi="仿宋" w:eastAsia="仿宋_GB2312"/>
          <w:sz w:val="32"/>
          <w:szCs w:val="32"/>
        </w:rPr>
      </w:pPr>
      <w:r>
        <w:rPr>
          <w:rFonts w:hint="eastAsia" w:ascii="黑体" w:hAnsi="黑体" w:eastAsia="黑体"/>
          <w:sz w:val="32"/>
          <w:szCs w:val="32"/>
        </w:rPr>
        <w:t>五、附属单位上缴收入：</w:t>
      </w:r>
      <w:r>
        <w:rPr>
          <w:rFonts w:hint="eastAsia" w:ascii="仿宋_GB2312" w:hAnsi="仿宋" w:eastAsia="仿宋_GB2312"/>
          <w:sz w:val="32"/>
          <w:szCs w:val="32"/>
        </w:rPr>
        <w:t>指事业单位附属独立核算单位按照有关规定上缴的收入。</w:t>
      </w:r>
    </w:p>
    <w:p>
      <w:pPr>
        <w:spacing w:line="560" w:lineRule="exact"/>
        <w:ind w:firstLine="632" w:firstLineChars="200"/>
        <w:rPr>
          <w:rFonts w:hint="eastAsia" w:ascii="仿宋_GB2312" w:hAnsi="仿宋" w:eastAsia="仿宋_GB2312"/>
          <w:sz w:val="32"/>
          <w:szCs w:val="32"/>
        </w:rPr>
      </w:pPr>
      <w:r>
        <w:rPr>
          <w:rFonts w:hint="eastAsia" w:ascii="黑体" w:hAnsi="黑体" w:eastAsia="黑体"/>
          <w:sz w:val="32"/>
          <w:szCs w:val="32"/>
        </w:rPr>
        <w:t>六、其他收入：</w:t>
      </w:r>
      <w:r>
        <w:rPr>
          <w:rFonts w:hint="eastAsia" w:ascii="仿宋_GB2312" w:hAnsi="仿宋" w:eastAsia="仿宋_GB2312"/>
          <w:sz w:val="32"/>
          <w:szCs w:val="32"/>
        </w:rPr>
        <w:t>指单位取得的除上述“</w:t>
      </w:r>
      <w:r>
        <w:rPr>
          <w:rFonts w:hint="eastAsia" w:ascii="仿宋_GB2312" w:eastAsia="仿宋_GB2312"/>
          <w:sz w:val="32"/>
          <w:szCs w:val="32"/>
        </w:rPr>
        <w:t>财政拨款收入</w:t>
      </w:r>
      <w:r>
        <w:rPr>
          <w:rFonts w:hint="eastAsia" w:ascii="仿宋_GB2312" w:hAnsi="仿宋" w:eastAsia="仿宋_GB2312"/>
          <w:sz w:val="32"/>
          <w:szCs w:val="32"/>
        </w:rPr>
        <w:t>”“上级补助收入”“事业收入”“经营收入”“附属单位上缴收入”等以外的各项收入。</w:t>
      </w:r>
    </w:p>
    <w:p>
      <w:pPr>
        <w:spacing w:line="560" w:lineRule="exact"/>
        <w:ind w:firstLine="632" w:firstLineChars="200"/>
        <w:rPr>
          <w:rFonts w:hint="eastAsia" w:ascii="仿宋_GB2312" w:hAnsi="仿宋" w:eastAsia="仿宋_GB2312"/>
          <w:sz w:val="32"/>
          <w:szCs w:val="32"/>
        </w:rPr>
      </w:pPr>
      <w:r>
        <w:rPr>
          <w:rFonts w:hint="eastAsia" w:ascii="黑体" w:hAnsi="黑体" w:eastAsia="黑体"/>
          <w:sz w:val="32"/>
          <w:szCs w:val="32"/>
        </w:rPr>
        <w:t>七、使用非财政拨款结余：</w:t>
      </w:r>
      <w:r>
        <w:rPr>
          <w:rFonts w:hint="eastAsia" w:ascii="仿宋_GB2312" w:hAnsi="仿宋" w:eastAsia="仿宋_GB2312"/>
          <w:sz w:val="32"/>
          <w:szCs w:val="32"/>
        </w:rPr>
        <w:t>指事业单位按照预算管理要求使用非财政拨款结余弥补收支差额的金额。</w:t>
      </w:r>
    </w:p>
    <w:p>
      <w:pPr>
        <w:spacing w:line="560" w:lineRule="exact"/>
        <w:ind w:firstLine="632" w:firstLineChars="200"/>
        <w:rPr>
          <w:rFonts w:hint="eastAsia" w:ascii="仿宋_GB2312" w:eastAsia="仿宋_GB2312"/>
          <w:sz w:val="32"/>
          <w:szCs w:val="32"/>
        </w:rPr>
      </w:pPr>
      <w:r>
        <w:rPr>
          <w:rFonts w:hint="eastAsia" w:ascii="黑体" w:hAnsi="黑体" w:eastAsia="黑体"/>
          <w:sz w:val="32"/>
          <w:szCs w:val="32"/>
        </w:rPr>
        <w:t>八、年初结转和结余：</w:t>
      </w:r>
      <w:r>
        <w:rPr>
          <w:rFonts w:hint="eastAsia" w:ascii="仿宋_GB2312" w:eastAsia="仿宋_GB2312"/>
          <w:sz w:val="32"/>
          <w:szCs w:val="32"/>
        </w:rPr>
        <w:t>指单位以前年度尚未完成、结转到本年仍按原规定用途继续使用的资金，或项目已完成等产生的结余资金。</w:t>
      </w:r>
    </w:p>
    <w:p>
      <w:pPr>
        <w:spacing w:line="560" w:lineRule="exact"/>
        <w:ind w:firstLine="632" w:firstLineChars="200"/>
        <w:rPr>
          <w:rFonts w:hint="eastAsia" w:ascii="仿宋_GB2312" w:eastAsia="仿宋_GB2312"/>
          <w:sz w:val="32"/>
          <w:szCs w:val="32"/>
        </w:rPr>
      </w:pPr>
      <w:r>
        <w:rPr>
          <w:rFonts w:hint="eastAsia" w:ascii="黑体" w:hAnsi="黑体" w:eastAsia="黑体"/>
          <w:sz w:val="32"/>
          <w:szCs w:val="32"/>
        </w:rPr>
        <w:t>九、结余分配：</w:t>
      </w:r>
      <w:r>
        <w:rPr>
          <w:rFonts w:hint="eastAsia" w:ascii="仿宋_GB2312" w:eastAsia="仿宋_GB2312"/>
          <w:sz w:val="32"/>
          <w:szCs w:val="32"/>
        </w:rPr>
        <w:t>指事业单位缴纳的所得税以及从非财政拨款结余或经营结余中提取的各类结余。</w:t>
      </w:r>
    </w:p>
    <w:p>
      <w:pPr>
        <w:spacing w:line="560" w:lineRule="exact"/>
        <w:ind w:firstLine="632" w:firstLineChars="200"/>
        <w:rPr>
          <w:rFonts w:hint="eastAsia" w:ascii="仿宋_GB2312" w:hAnsi="仿宋" w:eastAsia="仿宋_GB2312"/>
          <w:sz w:val="32"/>
          <w:szCs w:val="32"/>
        </w:rPr>
      </w:pPr>
      <w:r>
        <w:rPr>
          <w:rFonts w:hint="eastAsia" w:ascii="黑体" w:hAnsi="黑体" w:eastAsia="黑体"/>
          <w:sz w:val="32"/>
          <w:szCs w:val="32"/>
        </w:rPr>
        <w:t>十、年末结转和结余：</w:t>
      </w:r>
      <w:r>
        <w:rPr>
          <w:rFonts w:hint="eastAsia" w:ascii="仿宋_GB2312" w:hAnsi="仿宋" w:eastAsia="仿宋_GB2312"/>
          <w:sz w:val="32"/>
          <w:szCs w:val="32"/>
        </w:rPr>
        <w:t>指单位本年度或以前年度预算安排、因客观条件发生变化未全部执行或未执行，结转到以后年度继续使用的资金，或项目已完成等产生的结余资金。</w:t>
      </w:r>
    </w:p>
    <w:p>
      <w:pPr>
        <w:spacing w:line="560" w:lineRule="exact"/>
        <w:ind w:firstLine="632" w:firstLineChars="200"/>
        <w:rPr>
          <w:rFonts w:hint="eastAsia" w:ascii="仿宋_GB2312" w:eastAsia="仿宋_GB2312"/>
          <w:sz w:val="32"/>
          <w:szCs w:val="32"/>
        </w:rPr>
      </w:pPr>
      <w:r>
        <w:rPr>
          <w:rFonts w:hint="eastAsia" w:ascii="黑体" w:hAnsi="黑体" w:eastAsia="黑体"/>
          <w:sz w:val="32"/>
          <w:szCs w:val="32"/>
        </w:rPr>
        <w:t>十一、基本支出：</w:t>
      </w:r>
      <w:r>
        <w:rPr>
          <w:rFonts w:hint="eastAsia" w:ascii="仿宋_GB2312" w:eastAsia="仿宋_GB2312"/>
          <w:sz w:val="32"/>
          <w:szCs w:val="32"/>
        </w:rPr>
        <w:t>指单位为保障机构正常运转、完成日常工作任务而发生的各项支出。</w:t>
      </w:r>
    </w:p>
    <w:p>
      <w:pPr>
        <w:spacing w:line="560" w:lineRule="exact"/>
        <w:ind w:firstLine="632" w:firstLineChars="200"/>
        <w:rPr>
          <w:rFonts w:hint="eastAsia" w:ascii="仿宋_GB2312" w:eastAsia="仿宋_GB2312"/>
          <w:sz w:val="32"/>
          <w:szCs w:val="32"/>
        </w:rPr>
      </w:pPr>
      <w:r>
        <w:rPr>
          <w:rFonts w:hint="eastAsia" w:ascii="黑体" w:hAnsi="黑体" w:eastAsia="黑体"/>
          <w:sz w:val="32"/>
          <w:szCs w:val="32"/>
        </w:rPr>
        <w:t>十二、项目支出：</w:t>
      </w:r>
      <w:r>
        <w:rPr>
          <w:rFonts w:hint="eastAsia" w:ascii="仿宋_GB2312" w:eastAsia="仿宋_GB2312"/>
          <w:sz w:val="32"/>
          <w:szCs w:val="32"/>
        </w:rPr>
        <w:t>指单位为完成特定的行政工作任务或事业发展目标，在基本支出之外发生的各项支出。</w:t>
      </w:r>
    </w:p>
    <w:p>
      <w:pPr>
        <w:spacing w:line="560" w:lineRule="exact"/>
        <w:ind w:firstLine="632" w:firstLineChars="200"/>
        <w:rPr>
          <w:rFonts w:hint="eastAsia" w:ascii="仿宋_GB2312" w:eastAsia="仿宋_GB2312"/>
          <w:sz w:val="32"/>
          <w:szCs w:val="32"/>
        </w:rPr>
      </w:pPr>
      <w:r>
        <w:rPr>
          <w:rFonts w:hint="eastAsia" w:ascii="黑体" w:hAnsi="黑体" w:eastAsia="黑体"/>
          <w:sz w:val="32"/>
          <w:szCs w:val="32"/>
        </w:rPr>
        <w:t>十三、经营支出：</w:t>
      </w:r>
      <w:r>
        <w:rPr>
          <w:rFonts w:hint="eastAsia" w:ascii="仿宋_GB2312" w:eastAsia="仿宋_GB2312"/>
          <w:sz w:val="32"/>
          <w:szCs w:val="32"/>
        </w:rPr>
        <w:t>指事业单位在专业业务活动及其辅助活动之外开展非独立核算经营活动发生的支出。</w:t>
      </w:r>
    </w:p>
    <w:p>
      <w:pPr>
        <w:spacing w:line="560" w:lineRule="exact"/>
        <w:ind w:firstLine="632" w:firstLineChars="200"/>
        <w:rPr>
          <w:rFonts w:hint="eastAsia" w:ascii="仿宋_GB2312" w:eastAsia="仿宋_GB2312"/>
          <w:sz w:val="32"/>
          <w:szCs w:val="32"/>
        </w:rPr>
      </w:pPr>
      <w:r>
        <w:rPr>
          <w:rFonts w:hint="eastAsia" w:ascii="黑体" w:hAnsi="黑体" w:eastAsia="黑体"/>
          <w:sz w:val="32"/>
          <w:szCs w:val="32"/>
        </w:rPr>
        <w:t>十四、“三公”经费：</w:t>
      </w:r>
      <w:r>
        <w:rPr>
          <w:rFonts w:hint="eastAsia" w:ascii="仿宋_GB2312" w:eastAsia="仿宋_GB2312"/>
          <w:sz w:val="32"/>
          <w:szCs w:val="32"/>
        </w:rPr>
        <w:t>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按规定保留的公务用车燃料费、维修费、过桥过路费、保险费、安全奖励费用等支出；公务接待费反映单位按规定开支的各类公务接待（含外宾接待）支出。</w:t>
      </w:r>
    </w:p>
    <w:p>
      <w:pPr>
        <w:spacing w:line="560" w:lineRule="exact"/>
        <w:ind w:firstLine="632" w:firstLineChars="200"/>
        <w:rPr>
          <w:rFonts w:hint="eastAsia" w:ascii="仿宋_GB2312" w:eastAsia="仿宋_GB2312"/>
          <w:sz w:val="32"/>
          <w:szCs w:val="32"/>
        </w:rPr>
      </w:pPr>
      <w:r>
        <w:rPr>
          <w:rFonts w:hint="eastAsia" w:ascii="黑体" w:hAnsi="黑体" w:eastAsia="黑体"/>
          <w:sz w:val="32"/>
          <w:szCs w:val="32"/>
        </w:rPr>
        <w:t>十五、机关运行经费：</w:t>
      </w:r>
      <w:r>
        <w:rPr>
          <w:rFonts w:hint="eastAsia" w:ascii="仿宋_GB2312" w:eastAsia="仿宋_GB2312"/>
          <w:sz w:val="32"/>
          <w:szCs w:val="32"/>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32" w:firstLineChars="200"/>
        <w:rPr>
          <w:rFonts w:hint="eastAsia" w:ascii="仿宋_GB2312" w:eastAsia="仿宋_GB2312"/>
          <w:sz w:val="32"/>
          <w:szCs w:val="32"/>
        </w:rPr>
      </w:pPr>
      <w:r>
        <w:rPr>
          <w:rFonts w:hint="eastAsia" w:ascii="黑体" w:hAnsi="黑体" w:eastAsia="黑体"/>
          <w:sz w:val="32"/>
          <w:szCs w:val="32"/>
        </w:rPr>
        <w:t>十六、一般公共服务支出（类）市场监督管理事务（款）事业运行（项）：</w:t>
      </w:r>
      <w:r>
        <w:rPr>
          <w:rFonts w:hint="eastAsia" w:ascii="仿宋_GB2312" w:eastAsia="仿宋_GB2312"/>
          <w:sz w:val="32"/>
          <w:szCs w:val="32"/>
        </w:rPr>
        <w:t>反映事业单位的基本支出，不包括行政单位（包括实行公务员管理的事业单位）后勤服务中心 、医务室等附属事业单位。</w:t>
      </w:r>
    </w:p>
    <w:p>
      <w:pPr>
        <w:spacing w:line="560" w:lineRule="exact"/>
        <w:ind w:firstLine="632" w:firstLineChars="200"/>
        <w:rPr>
          <w:rFonts w:hint="eastAsia" w:ascii="仿宋_GB2312" w:eastAsia="仿宋_GB2312"/>
          <w:sz w:val="32"/>
          <w:szCs w:val="32"/>
        </w:rPr>
      </w:pPr>
      <w:r>
        <w:rPr>
          <w:rFonts w:hint="eastAsia" w:ascii="黑体" w:hAnsi="黑体" w:eastAsia="黑体"/>
          <w:sz w:val="32"/>
          <w:szCs w:val="32"/>
        </w:rPr>
        <w:t>十七、社会保障和就业支出（类）行政事业单位养老支出（款）机关事业单位基本养老保险缴费支出（项）：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spacing w:line="560" w:lineRule="exact"/>
        <w:ind w:firstLine="632" w:firstLineChars="200"/>
        <w:rPr>
          <w:rFonts w:hint="eastAsia" w:ascii="仿宋_GB2312" w:eastAsia="仿宋_GB2312"/>
          <w:sz w:val="32"/>
          <w:szCs w:val="32"/>
        </w:rPr>
      </w:pPr>
      <w:r>
        <w:rPr>
          <w:rFonts w:hint="eastAsia" w:ascii="黑体" w:hAnsi="黑体" w:eastAsia="黑体"/>
          <w:sz w:val="32"/>
          <w:szCs w:val="32"/>
        </w:rPr>
        <w:t>十八、社会保障和就业支出（类）行政事业单位养老支出（款）机关事业单位职业年金缴费支出（项）：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spacing w:line="560" w:lineRule="exact"/>
        <w:ind w:firstLine="632" w:firstLineChars="200"/>
        <w:rPr>
          <w:rFonts w:ascii="仿宋_GB2312" w:eastAsia="仿宋_GB2312"/>
          <w:sz w:val="32"/>
          <w:szCs w:val="32"/>
        </w:rPr>
      </w:pPr>
      <w:r>
        <w:rPr>
          <w:rFonts w:hint="eastAsia" w:ascii="黑体" w:hAnsi="黑体" w:eastAsia="黑体"/>
          <w:sz w:val="32"/>
          <w:szCs w:val="32"/>
        </w:rPr>
        <w:t>十九、住房保障支出（类）住房改革支出（款）住房公积金（项）：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rPr>
          <w:rFonts w:hint="eastAsia" w:ascii="方正小标宋简体" w:eastAsia="方正小标宋简体"/>
          <w:spacing w:val="60"/>
          <w:sz w:val="42"/>
        </w:rPr>
      </w:pPr>
    </w:p>
    <w:sectPr>
      <w:footerReference r:id="rId8" w:type="default"/>
      <w:footerReference r:id="rId9" w:type="even"/>
      <w:pgSz w:w="11906" w:h="16838"/>
      <w:pgMar w:top="1701" w:right="1531" w:bottom="1701" w:left="1531" w:header="0" w:footer="1418" w:gutter="0"/>
      <w:cols w:space="720" w:num="1"/>
      <w:docGrid w:type="linesAndChars" w:linePitch="610" w:charSpace="-8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 x" w:date="2021-09-21T13:02:00Z" w:initials="zx">
    <w:p w14:paraId="6FEC05E9">
      <w:pPr>
        <w:pStyle w:val="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EC05E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文星简大标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FangSong_GB2312-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lang w:val="en-US" w:eastAsia="zh-CN"/>
      </w:rPr>
      <w:t>24</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hint="eastAsia"/>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 x">
    <w15:presenceInfo w15:providerId="Windows Live" w15:userId="7aa3eb761b09aa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HorizontalSpacing w:val="103"/>
  <w:drawingGridVerticalSpacing w:val="3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283"/>
    <w:rsid w:val="000037A0"/>
    <w:rsid w:val="00007DC9"/>
    <w:rsid w:val="00010FE6"/>
    <w:rsid w:val="00011BD7"/>
    <w:rsid w:val="00013228"/>
    <w:rsid w:val="00016478"/>
    <w:rsid w:val="00017BE6"/>
    <w:rsid w:val="00021595"/>
    <w:rsid w:val="000217B6"/>
    <w:rsid w:val="00023ACF"/>
    <w:rsid w:val="000256DB"/>
    <w:rsid w:val="000262D1"/>
    <w:rsid w:val="00031E72"/>
    <w:rsid w:val="00031FDC"/>
    <w:rsid w:val="000348C2"/>
    <w:rsid w:val="000368B1"/>
    <w:rsid w:val="00037B20"/>
    <w:rsid w:val="00040B20"/>
    <w:rsid w:val="00044DCC"/>
    <w:rsid w:val="00045A58"/>
    <w:rsid w:val="00046A75"/>
    <w:rsid w:val="00047478"/>
    <w:rsid w:val="0004763A"/>
    <w:rsid w:val="00047D02"/>
    <w:rsid w:val="00052307"/>
    <w:rsid w:val="00053C6A"/>
    <w:rsid w:val="00054C98"/>
    <w:rsid w:val="00057D1D"/>
    <w:rsid w:val="000679A9"/>
    <w:rsid w:val="00072AD9"/>
    <w:rsid w:val="00073FAE"/>
    <w:rsid w:val="00074D65"/>
    <w:rsid w:val="00074EDA"/>
    <w:rsid w:val="00076E25"/>
    <w:rsid w:val="00077098"/>
    <w:rsid w:val="0008135F"/>
    <w:rsid w:val="00082097"/>
    <w:rsid w:val="00087607"/>
    <w:rsid w:val="00090C14"/>
    <w:rsid w:val="000A0D90"/>
    <w:rsid w:val="000A2755"/>
    <w:rsid w:val="000A32E5"/>
    <w:rsid w:val="000A4FC9"/>
    <w:rsid w:val="000A7E71"/>
    <w:rsid w:val="000B0216"/>
    <w:rsid w:val="000B02E0"/>
    <w:rsid w:val="000B1330"/>
    <w:rsid w:val="000B7F17"/>
    <w:rsid w:val="000C74E1"/>
    <w:rsid w:val="000D0803"/>
    <w:rsid w:val="000D1878"/>
    <w:rsid w:val="000D31C7"/>
    <w:rsid w:val="000D5383"/>
    <w:rsid w:val="000D7B27"/>
    <w:rsid w:val="000E1CB4"/>
    <w:rsid w:val="000E2130"/>
    <w:rsid w:val="000E37E6"/>
    <w:rsid w:val="000E41B0"/>
    <w:rsid w:val="000E4536"/>
    <w:rsid w:val="000E5E12"/>
    <w:rsid w:val="000E6C54"/>
    <w:rsid w:val="000E76A2"/>
    <w:rsid w:val="000F0025"/>
    <w:rsid w:val="000F0E2C"/>
    <w:rsid w:val="000F2160"/>
    <w:rsid w:val="000F2903"/>
    <w:rsid w:val="000F406F"/>
    <w:rsid w:val="000F6B1F"/>
    <w:rsid w:val="000F75A5"/>
    <w:rsid w:val="00102DF0"/>
    <w:rsid w:val="00107432"/>
    <w:rsid w:val="00110214"/>
    <w:rsid w:val="00111472"/>
    <w:rsid w:val="001149AF"/>
    <w:rsid w:val="00114AFE"/>
    <w:rsid w:val="00115F31"/>
    <w:rsid w:val="00117D73"/>
    <w:rsid w:val="00117FD5"/>
    <w:rsid w:val="00122CDC"/>
    <w:rsid w:val="00122E72"/>
    <w:rsid w:val="001247D3"/>
    <w:rsid w:val="0012556E"/>
    <w:rsid w:val="00125BFB"/>
    <w:rsid w:val="0013247D"/>
    <w:rsid w:val="00133784"/>
    <w:rsid w:val="0013508F"/>
    <w:rsid w:val="00142984"/>
    <w:rsid w:val="0014481D"/>
    <w:rsid w:val="00150FDD"/>
    <w:rsid w:val="00151B4A"/>
    <w:rsid w:val="0015319D"/>
    <w:rsid w:val="00155BA2"/>
    <w:rsid w:val="0015766C"/>
    <w:rsid w:val="0016083B"/>
    <w:rsid w:val="0016381D"/>
    <w:rsid w:val="00167985"/>
    <w:rsid w:val="00167F6E"/>
    <w:rsid w:val="00170067"/>
    <w:rsid w:val="00170426"/>
    <w:rsid w:val="0017132B"/>
    <w:rsid w:val="001776CE"/>
    <w:rsid w:val="001823F0"/>
    <w:rsid w:val="00184019"/>
    <w:rsid w:val="00186D80"/>
    <w:rsid w:val="0019244E"/>
    <w:rsid w:val="00195E4A"/>
    <w:rsid w:val="001961AE"/>
    <w:rsid w:val="001A0EBF"/>
    <w:rsid w:val="001A1028"/>
    <w:rsid w:val="001B062F"/>
    <w:rsid w:val="001B293E"/>
    <w:rsid w:val="001B2B4D"/>
    <w:rsid w:val="001B60EA"/>
    <w:rsid w:val="001B65A9"/>
    <w:rsid w:val="001C00C8"/>
    <w:rsid w:val="001C37EC"/>
    <w:rsid w:val="001C444B"/>
    <w:rsid w:val="001C5454"/>
    <w:rsid w:val="001C5FD0"/>
    <w:rsid w:val="001C6FF9"/>
    <w:rsid w:val="001C7171"/>
    <w:rsid w:val="001D09B8"/>
    <w:rsid w:val="001D1089"/>
    <w:rsid w:val="001D197E"/>
    <w:rsid w:val="001D5334"/>
    <w:rsid w:val="001D637E"/>
    <w:rsid w:val="001E1750"/>
    <w:rsid w:val="001E24D4"/>
    <w:rsid w:val="001E24EC"/>
    <w:rsid w:val="001E4025"/>
    <w:rsid w:val="001E457C"/>
    <w:rsid w:val="001F0816"/>
    <w:rsid w:val="001F36DA"/>
    <w:rsid w:val="001F65C5"/>
    <w:rsid w:val="001F789E"/>
    <w:rsid w:val="002022B9"/>
    <w:rsid w:val="0020598C"/>
    <w:rsid w:val="00210B61"/>
    <w:rsid w:val="002111EE"/>
    <w:rsid w:val="0021146E"/>
    <w:rsid w:val="00211F82"/>
    <w:rsid w:val="002122D4"/>
    <w:rsid w:val="002139C7"/>
    <w:rsid w:val="00213DC0"/>
    <w:rsid w:val="00213E95"/>
    <w:rsid w:val="00221DFE"/>
    <w:rsid w:val="002233D4"/>
    <w:rsid w:val="00224A07"/>
    <w:rsid w:val="00226C5A"/>
    <w:rsid w:val="002270C1"/>
    <w:rsid w:val="00231B86"/>
    <w:rsid w:val="00231EBE"/>
    <w:rsid w:val="00232600"/>
    <w:rsid w:val="00232FE3"/>
    <w:rsid w:val="0024268A"/>
    <w:rsid w:val="00244A46"/>
    <w:rsid w:val="00253115"/>
    <w:rsid w:val="00254079"/>
    <w:rsid w:val="0026303E"/>
    <w:rsid w:val="00263EE2"/>
    <w:rsid w:val="00265A3A"/>
    <w:rsid w:val="002661EC"/>
    <w:rsid w:val="002669B6"/>
    <w:rsid w:val="0027025F"/>
    <w:rsid w:val="00270E32"/>
    <w:rsid w:val="002710B8"/>
    <w:rsid w:val="002713E0"/>
    <w:rsid w:val="00271715"/>
    <w:rsid w:val="00272A85"/>
    <w:rsid w:val="00274233"/>
    <w:rsid w:val="00282C2B"/>
    <w:rsid w:val="00287E6F"/>
    <w:rsid w:val="0029068E"/>
    <w:rsid w:val="00294BC6"/>
    <w:rsid w:val="00294D2F"/>
    <w:rsid w:val="002A412F"/>
    <w:rsid w:val="002B09AE"/>
    <w:rsid w:val="002B7143"/>
    <w:rsid w:val="002B7907"/>
    <w:rsid w:val="002B7DA7"/>
    <w:rsid w:val="002C47BC"/>
    <w:rsid w:val="002C54F5"/>
    <w:rsid w:val="002D0011"/>
    <w:rsid w:val="002D1809"/>
    <w:rsid w:val="002D35C0"/>
    <w:rsid w:val="002D38E5"/>
    <w:rsid w:val="002D486B"/>
    <w:rsid w:val="002D489D"/>
    <w:rsid w:val="002D748B"/>
    <w:rsid w:val="002E1565"/>
    <w:rsid w:val="002E5BA7"/>
    <w:rsid w:val="002F0140"/>
    <w:rsid w:val="002F0219"/>
    <w:rsid w:val="002F6E69"/>
    <w:rsid w:val="00300356"/>
    <w:rsid w:val="00301BBA"/>
    <w:rsid w:val="0030390E"/>
    <w:rsid w:val="00304325"/>
    <w:rsid w:val="00311702"/>
    <w:rsid w:val="0031481E"/>
    <w:rsid w:val="0031518E"/>
    <w:rsid w:val="00316B3F"/>
    <w:rsid w:val="003171C0"/>
    <w:rsid w:val="003207A7"/>
    <w:rsid w:val="00322604"/>
    <w:rsid w:val="00323FD0"/>
    <w:rsid w:val="00324F4C"/>
    <w:rsid w:val="00326A28"/>
    <w:rsid w:val="00327639"/>
    <w:rsid w:val="00327C90"/>
    <w:rsid w:val="00331F0D"/>
    <w:rsid w:val="0033493C"/>
    <w:rsid w:val="00335733"/>
    <w:rsid w:val="003369FE"/>
    <w:rsid w:val="00341E6C"/>
    <w:rsid w:val="003425AA"/>
    <w:rsid w:val="003439FD"/>
    <w:rsid w:val="00344C60"/>
    <w:rsid w:val="00345092"/>
    <w:rsid w:val="00345DCF"/>
    <w:rsid w:val="003466B0"/>
    <w:rsid w:val="00346C30"/>
    <w:rsid w:val="0034701E"/>
    <w:rsid w:val="003473D6"/>
    <w:rsid w:val="0034775A"/>
    <w:rsid w:val="00350E02"/>
    <w:rsid w:val="00354A29"/>
    <w:rsid w:val="003552D1"/>
    <w:rsid w:val="0036187C"/>
    <w:rsid w:val="00362A69"/>
    <w:rsid w:val="00363B33"/>
    <w:rsid w:val="00364D86"/>
    <w:rsid w:val="00366644"/>
    <w:rsid w:val="00366A03"/>
    <w:rsid w:val="00367C74"/>
    <w:rsid w:val="00372FFD"/>
    <w:rsid w:val="003733C9"/>
    <w:rsid w:val="00373C58"/>
    <w:rsid w:val="00374547"/>
    <w:rsid w:val="00376739"/>
    <w:rsid w:val="003772AC"/>
    <w:rsid w:val="0038681E"/>
    <w:rsid w:val="00386AB9"/>
    <w:rsid w:val="00387C92"/>
    <w:rsid w:val="00390ABE"/>
    <w:rsid w:val="00392032"/>
    <w:rsid w:val="003A0A2C"/>
    <w:rsid w:val="003A4E6D"/>
    <w:rsid w:val="003A64C5"/>
    <w:rsid w:val="003A7F3D"/>
    <w:rsid w:val="003B288D"/>
    <w:rsid w:val="003B32A7"/>
    <w:rsid w:val="003B3F67"/>
    <w:rsid w:val="003B4301"/>
    <w:rsid w:val="003B71FC"/>
    <w:rsid w:val="003C0B34"/>
    <w:rsid w:val="003C35F1"/>
    <w:rsid w:val="003C6496"/>
    <w:rsid w:val="003D1BDA"/>
    <w:rsid w:val="003D2F9E"/>
    <w:rsid w:val="003D5BB7"/>
    <w:rsid w:val="003D61D5"/>
    <w:rsid w:val="003D7461"/>
    <w:rsid w:val="003E4711"/>
    <w:rsid w:val="003E5556"/>
    <w:rsid w:val="003E5D24"/>
    <w:rsid w:val="003E7375"/>
    <w:rsid w:val="003E740D"/>
    <w:rsid w:val="003F5D32"/>
    <w:rsid w:val="00400E2C"/>
    <w:rsid w:val="004031BC"/>
    <w:rsid w:val="00405D47"/>
    <w:rsid w:val="00406B46"/>
    <w:rsid w:val="00412B6A"/>
    <w:rsid w:val="00413BC6"/>
    <w:rsid w:val="00416379"/>
    <w:rsid w:val="00435C0A"/>
    <w:rsid w:val="00440A47"/>
    <w:rsid w:val="00443328"/>
    <w:rsid w:val="0044488D"/>
    <w:rsid w:val="00445E78"/>
    <w:rsid w:val="0044702C"/>
    <w:rsid w:val="00454FBB"/>
    <w:rsid w:val="00455FF4"/>
    <w:rsid w:val="004607FD"/>
    <w:rsid w:val="00462348"/>
    <w:rsid w:val="00464D91"/>
    <w:rsid w:val="00465436"/>
    <w:rsid w:val="00465C53"/>
    <w:rsid w:val="00467431"/>
    <w:rsid w:val="0047350E"/>
    <w:rsid w:val="00475CEF"/>
    <w:rsid w:val="00475EDF"/>
    <w:rsid w:val="00477543"/>
    <w:rsid w:val="0047767A"/>
    <w:rsid w:val="00481637"/>
    <w:rsid w:val="004830CB"/>
    <w:rsid w:val="0048482E"/>
    <w:rsid w:val="00484C13"/>
    <w:rsid w:val="00484CC0"/>
    <w:rsid w:val="00484D66"/>
    <w:rsid w:val="00485FDE"/>
    <w:rsid w:val="00487913"/>
    <w:rsid w:val="00490C6B"/>
    <w:rsid w:val="00492973"/>
    <w:rsid w:val="004A0F9B"/>
    <w:rsid w:val="004A1579"/>
    <w:rsid w:val="004A6C50"/>
    <w:rsid w:val="004A6E98"/>
    <w:rsid w:val="004B0533"/>
    <w:rsid w:val="004B7583"/>
    <w:rsid w:val="004C1C7B"/>
    <w:rsid w:val="004C3648"/>
    <w:rsid w:val="004C399B"/>
    <w:rsid w:val="004C43C7"/>
    <w:rsid w:val="004C51CA"/>
    <w:rsid w:val="004C6442"/>
    <w:rsid w:val="004C6B98"/>
    <w:rsid w:val="004C7193"/>
    <w:rsid w:val="004D043F"/>
    <w:rsid w:val="004D225B"/>
    <w:rsid w:val="004D56E2"/>
    <w:rsid w:val="004E2640"/>
    <w:rsid w:val="004F01C6"/>
    <w:rsid w:val="004F1E6C"/>
    <w:rsid w:val="004F2701"/>
    <w:rsid w:val="004F2B79"/>
    <w:rsid w:val="004F6772"/>
    <w:rsid w:val="0050040E"/>
    <w:rsid w:val="00500863"/>
    <w:rsid w:val="005011D4"/>
    <w:rsid w:val="005039A7"/>
    <w:rsid w:val="00505B64"/>
    <w:rsid w:val="00506738"/>
    <w:rsid w:val="005108F0"/>
    <w:rsid w:val="005109A3"/>
    <w:rsid w:val="00512FF3"/>
    <w:rsid w:val="0051675E"/>
    <w:rsid w:val="00522F0F"/>
    <w:rsid w:val="005233EC"/>
    <w:rsid w:val="00525758"/>
    <w:rsid w:val="00527621"/>
    <w:rsid w:val="0053096A"/>
    <w:rsid w:val="0053153E"/>
    <w:rsid w:val="00531E3D"/>
    <w:rsid w:val="005344D3"/>
    <w:rsid w:val="00536282"/>
    <w:rsid w:val="005373CB"/>
    <w:rsid w:val="0053776B"/>
    <w:rsid w:val="00540F27"/>
    <w:rsid w:val="00543249"/>
    <w:rsid w:val="0054412E"/>
    <w:rsid w:val="0054677A"/>
    <w:rsid w:val="00546D16"/>
    <w:rsid w:val="00547154"/>
    <w:rsid w:val="00551ED0"/>
    <w:rsid w:val="00555B87"/>
    <w:rsid w:val="00561B5E"/>
    <w:rsid w:val="005646A8"/>
    <w:rsid w:val="00565412"/>
    <w:rsid w:val="00567075"/>
    <w:rsid w:val="00574539"/>
    <w:rsid w:val="005755A8"/>
    <w:rsid w:val="00575C23"/>
    <w:rsid w:val="00577962"/>
    <w:rsid w:val="00581D98"/>
    <w:rsid w:val="005831C6"/>
    <w:rsid w:val="00585BC9"/>
    <w:rsid w:val="0059306C"/>
    <w:rsid w:val="00594782"/>
    <w:rsid w:val="00594ACF"/>
    <w:rsid w:val="005967A0"/>
    <w:rsid w:val="005A1892"/>
    <w:rsid w:val="005A21B3"/>
    <w:rsid w:val="005A40D3"/>
    <w:rsid w:val="005A519A"/>
    <w:rsid w:val="005A592F"/>
    <w:rsid w:val="005B024D"/>
    <w:rsid w:val="005B2496"/>
    <w:rsid w:val="005B297E"/>
    <w:rsid w:val="005B2B10"/>
    <w:rsid w:val="005C18B7"/>
    <w:rsid w:val="005C1C2D"/>
    <w:rsid w:val="005C1FA3"/>
    <w:rsid w:val="005C3252"/>
    <w:rsid w:val="005D2513"/>
    <w:rsid w:val="005D2DC7"/>
    <w:rsid w:val="005D4E72"/>
    <w:rsid w:val="005D599A"/>
    <w:rsid w:val="005D6B39"/>
    <w:rsid w:val="005D7FCC"/>
    <w:rsid w:val="005E134E"/>
    <w:rsid w:val="005E16E7"/>
    <w:rsid w:val="005E36BC"/>
    <w:rsid w:val="005E6413"/>
    <w:rsid w:val="005F0341"/>
    <w:rsid w:val="005F1C91"/>
    <w:rsid w:val="005F2D23"/>
    <w:rsid w:val="005F3F69"/>
    <w:rsid w:val="005F3F70"/>
    <w:rsid w:val="005F430E"/>
    <w:rsid w:val="005F4BA3"/>
    <w:rsid w:val="005F61D9"/>
    <w:rsid w:val="005F7113"/>
    <w:rsid w:val="006003F1"/>
    <w:rsid w:val="006007ED"/>
    <w:rsid w:val="00602C9D"/>
    <w:rsid w:val="00612A26"/>
    <w:rsid w:val="00613A94"/>
    <w:rsid w:val="00617765"/>
    <w:rsid w:val="00620166"/>
    <w:rsid w:val="006204B9"/>
    <w:rsid w:val="0062208B"/>
    <w:rsid w:val="006221DE"/>
    <w:rsid w:val="006238B2"/>
    <w:rsid w:val="006247E4"/>
    <w:rsid w:val="00625903"/>
    <w:rsid w:val="00630A0B"/>
    <w:rsid w:val="006330B8"/>
    <w:rsid w:val="00634C53"/>
    <w:rsid w:val="006360A9"/>
    <w:rsid w:val="00636296"/>
    <w:rsid w:val="00640B31"/>
    <w:rsid w:val="006431B4"/>
    <w:rsid w:val="006443FD"/>
    <w:rsid w:val="00645818"/>
    <w:rsid w:val="00652976"/>
    <w:rsid w:val="00653A44"/>
    <w:rsid w:val="00656FD5"/>
    <w:rsid w:val="00661964"/>
    <w:rsid w:val="00665DCB"/>
    <w:rsid w:val="006671A4"/>
    <w:rsid w:val="00667CBE"/>
    <w:rsid w:val="00671D18"/>
    <w:rsid w:val="00675CA1"/>
    <w:rsid w:val="00676472"/>
    <w:rsid w:val="006846DB"/>
    <w:rsid w:val="00684D1E"/>
    <w:rsid w:val="00691463"/>
    <w:rsid w:val="00694C54"/>
    <w:rsid w:val="0069671E"/>
    <w:rsid w:val="00697B52"/>
    <w:rsid w:val="00697B94"/>
    <w:rsid w:val="006A0235"/>
    <w:rsid w:val="006A50AB"/>
    <w:rsid w:val="006A54D4"/>
    <w:rsid w:val="006A5E5E"/>
    <w:rsid w:val="006A6721"/>
    <w:rsid w:val="006A728B"/>
    <w:rsid w:val="006B0730"/>
    <w:rsid w:val="006B0D78"/>
    <w:rsid w:val="006B2173"/>
    <w:rsid w:val="006B4876"/>
    <w:rsid w:val="006B5892"/>
    <w:rsid w:val="006C2EC5"/>
    <w:rsid w:val="006C3613"/>
    <w:rsid w:val="006C48DF"/>
    <w:rsid w:val="006D2734"/>
    <w:rsid w:val="006D6890"/>
    <w:rsid w:val="006E0A8D"/>
    <w:rsid w:val="006E3ADD"/>
    <w:rsid w:val="006E4181"/>
    <w:rsid w:val="006E5339"/>
    <w:rsid w:val="006F187B"/>
    <w:rsid w:val="006F28B3"/>
    <w:rsid w:val="006F4106"/>
    <w:rsid w:val="006F7571"/>
    <w:rsid w:val="007023BD"/>
    <w:rsid w:val="00703E1B"/>
    <w:rsid w:val="00705024"/>
    <w:rsid w:val="00706CC7"/>
    <w:rsid w:val="00713691"/>
    <w:rsid w:val="007155F8"/>
    <w:rsid w:val="00715A52"/>
    <w:rsid w:val="00720089"/>
    <w:rsid w:val="00731F18"/>
    <w:rsid w:val="00733E4A"/>
    <w:rsid w:val="007348EB"/>
    <w:rsid w:val="00734B6D"/>
    <w:rsid w:val="00735892"/>
    <w:rsid w:val="007363D5"/>
    <w:rsid w:val="00740894"/>
    <w:rsid w:val="00740FE1"/>
    <w:rsid w:val="00741887"/>
    <w:rsid w:val="0074314A"/>
    <w:rsid w:val="00746456"/>
    <w:rsid w:val="00747FD9"/>
    <w:rsid w:val="007532AF"/>
    <w:rsid w:val="007538FE"/>
    <w:rsid w:val="00755A8E"/>
    <w:rsid w:val="00756EBC"/>
    <w:rsid w:val="00760C8A"/>
    <w:rsid w:val="0077070A"/>
    <w:rsid w:val="00774489"/>
    <w:rsid w:val="0077775C"/>
    <w:rsid w:val="00777786"/>
    <w:rsid w:val="00780FDF"/>
    <w:rsid w:val="00782411"/>
    <w:rsid w:val="00784D97"/>
    <w:rsid w:val="00785682"/>
    <w:rsid w:val="00785894"/>
    <w:rsid w:val="00786A22"/>
    <w:rsid w:val="0078718E"/>
    <w:rsid w:val="00791675"/>
    <w:rsid w:val="00792E30"/>
    <w:rsid w:val="0079788A"/>
    <w:rsid w:val="007A0649"/>
    <w:rsid w:val="007A48A4"/>
    <w:rsid w:val="007B2ABD"/>
    <w:rsid w:val="007B2AFC"/>
    <w:rsid w:val="007B5587"/>
    <w:rsid w:val="007B5B83"/>
    <w:rsid w:val="007B5DF4"/>
    <w:rsid w:val="007C02D1"/>
    <w:rsid w:val="007C2DA9"/>
    <w:rsid w:val="007C3D7C"/>
    <w:rsid w:val="007C5869"/>
    <w:rsid w:val="007D0905"/>
    <w:rsid w:val="007D1DFB"/>
    <w:rsid w:val="007D2D78"/>
    <w:rsid w:val="007D2EFF"/>
    <w:rsid w:val="007E068D"/>
    <w:rsid w:val="007E250F"/>
    <w:rsid w:val="007E76E9"/>
    <w:rsid w:val="007F197F"/>
    <w:rsid w:val="007F4E22"/>
    <w:rsid w:val="00810EA6"/>
    <w:rsid w:val="00812E17"/>
    <w:rsid w:val="00814B7C"/>
    <w:rsid w:val="00814DA0"/>
    <w:rsid w:val="008151FA"/>
    <w:rsid w:val="008165E2"/>
    <w:rsid w:val="00820FFC"/>
    <w:rsid w:val="00823109"/>
    <w:rsid w:val="008257E6"/>
    <w:rsid w:val="00831F19"/>
    <w:rsid w:val="008377F0"/>
    <w:rsid w:val="008378E6"/>
    <w:rsid w:val="00843D50"/>
    <w:rsid w:val="00843FF0"/>
    <w:rsid w:val="008470E2"/>
    <w:rsid w:val="00850453"/>
    <w:rsid w:val="00853EFF"/>
    <w:rsid w:val="00861BC7"/>
    <w:rsid w:val="00862A2F"/>
    <w:rsid w:val="0086412E"/>
    <w:rsid w:val="008641C3"/>
    <w:rsid w:val="00865B91"/>
    <w:rsid w:val="00867982"/>
    <w:rsid w:val="0087036D"/>
    <w:rsid w:val="00871078"/>
    <w:rsid w:val="00874270"/>
    <w:rsid w:val="00875837"/>
    <w:rsid w:val="00876ED2"/>
    <w:rsid w:val="00877705"/>
    <w:rsid w:val="0088003F"/>
    <w:rsid w:val="00881A1C"/>
    <w:rsid w:val="00883F39"/>
    <w:rsid w:val="0088746A"/>
    <w:rsid w:val="0089022B"/>
    <w:rsid w:val="00891E1A"/>
    <w:rsid w:val="00893086"/>
    <w:rsid w:val="008A0CFF"/>
    <w:rsid w:val="008A3A8A"/>
    <w:rsid w:val="008A5379"/>
    <w:rsid w:val="008A621E"/>
    <w:rsid w:val="008A6293"/>
    <w:rsid w:val="008B2D73"/>
    <w:rsid w:val="008B4D3E"/>
    <w:rsid w:val="008B7919"/>
    <w:rsid w:val="008C04AD"/>
    <w:rsid w:val="008C36CB"/>
    <w:rsid w:val="008C697A"/>
    <w:rsid w:val="008C6AE2"/>
    <w:rsid w:val="008D1A06"/>
    <w:rsid w:val="008D1BEE"/>
    <w:rsid w:val="008D7064"/>
    <w:rsid w:val="008D7A9D"/>
    <w:rsid w:val="008E2141"/>
    <w:rsid w:val="008E3D87"/>
    <w:rsid w:val="008E5BA4"/>
    <w:rsid w:val="009104D6"/>
    <w:rsid w:val="00911268"/>
    <w:rsid w:val="009205D2"/>
    <w:rsid w:val="009205EB"/>
    <w:rsid w:val="00921B10"/>
    <w:rsid w:val="009220D0"/>
    <w:rsid w:val="00922BB5"/>
    <w:rsid w:val="0092312F"/>
    <w:rsid w:val="0092699B"/>
    <w:rsid w:val="00934D21"/>
    <w:rsid w:val="00935267"/>
    <w:rsid w:val="009353FA"/>
    <w:rsid w:val="0093745D"/>
    <w:rsid w:val="00945D59"/>
    <w:rsid w:val="009560E0"/>
    <w:rsid w:val="00963ED2"/>
    <w:rsid w:val="00965BEF"/>
    <w:rsid w:val="00965E5C"/>
    <w:rsid w:val="00967FD9"/>
    <w:rsid w:val="00972343"/>
    <w:rsid w:val="009741DF"/>
    <w:rsid w:val="0097607F"/>
    <w:rsid w:val="009774BB"/>
    <w:rsid w:val="00980122"/>
    <w:rsid w:val="00983A42"/>
    <w:rsid w:val="00987810"/>
    <w:rsid w:val="0099140F"/>
    <w:rsid w:val="009915DE"/>
    <w:rsid w:val="0099689B"/>
    <w:rsid w:val="009971C2"/>
    <w:rsid w:val="009A39FE"/>
    <w:rsid w:val="009A3A32"/>
    <w:rsid w:val="009A3A68"/>
    <w:rsid w:val="009A4C19"/>
    <w:rsid w:val="009B0E03"/>
    <w:rsid w:val="009B6761"/>
    <w:rsid w:val="009B7616"/>
    <w:rsid w:val="009C2E7D"/>
    <w:rsid w:val="009C4325"/>
    <w:rsid w:val="009D19A6"/>
    <w:rsid w:val="009D3668"/>
    <w:rsid w:val="009D7733"/>
    <w:rsid w:val="009E0A44"/>
    <w:rsid w:val="009E0E1C"/>
    <w:rsid w:val="009E1EC7"/>
    <w:rsid w:val="009E2932"/>
    <w:rsid w:val="009E5FCC"/>
    <w:rsid w:val="009E60A7"/>
    <w:rsid w:val="009F0B1D"/>
    <w:rsid w:val="009F1395"/>
    <w:rsid w:val="009F5CC6"/>
    <w:rsid w:val="00A0055B"/>
    <w:rsid w:val="00A006C8"/>
    <w:rsid w:val="00A02392"/>
    <w:rsid w:val="00A05869"/>
    <w:rsid w:val="00A121E0"/>
    <w:rsid w:val="00A23431"/>
    <w:rsid w:val="00A30456"/>
    <w:rsid w:val="00A33173"/>
    <w:rsid w:val="00A35A34"/>
    <w:rsid w:val="00A4118E"/>
    <w:rsid w:val="00A44FD1"/>
    <w:rsid w:val="00A45304"/>
    <w:rsid w:val="00A63459"/>
    <w:rsid w:val="00A63BB9"/>
    <w:rsid w:val="00A65852"/>
    <w:rsid w:val="00A66FB6"/>
    <w:rsid w:val="00A674AA"/>
    <w:rsid w:val="00A71E40"/>
    <w:rsid w:val="00A72282"/>
    <w:rsid w:val="00A72C5C"/>
    <w:rsid w:val="00A7352E"/>
    <w:rsid w:val="00A75E8E"/>
    <w:rsid w:val="00A8145E"/>
    <w:rsid w:val="00A81B3B"/>
    <w:rsid w:val="00A82F10"/>
    <w:rsid w:val="00A839C1"/>
    <w:rsid w:val="00A843B6"/>
    <w:rsid w:val="00A86088"/>
    <w:rsid w:val="00A879B5"/>
    <w:rsid w:val="00A903A0"/>
    <w:rsid w:val="00A91F76"/>
    <w:rsid w:val="00A92890"/>
    <w:rsid w:val="00A92D71"/>
    <w:rsid w:val="00A95535"/>
    <w:rsid w:val="00A970C8"/>
    <w:rsid w:val="00AA271B"/>
    <w:rsid w:val="00AA3273"/>
    <w:rsid w:val="00AA7CCE"/>
    <w:rsid w:val="00AB28FC"/>
    <w:rsid w:val="00AB2B45"/>
    <w:rsid w:val="00AB2E00"/>
    <w:rsid w:val="00AC24E3"/>
    <w:rsid w:val="00AC5C42"/>
    <w:rsid w:val="00AD2628"/>
    <w:rsid w:val="00AD2AC8"/>
    <w:rsid w:val="00AD40CF"/>
    <w:rsid w:val="00AE086D"/>
    <w:rsid w:val="00AE283B"/>
    <w:rsid w:val="00AE2F92"/>
    <w:rsid w:val="00AE595F"/>
    <w:rsid w:val="00AF55FE"/>
    <w:rsid w:val="00B0120F"/>
    <w:rsid w:val="00B062C2"/>
    <w:rsid w:val="00B06810"/>
    <w:rsid w:val="00B06A8C"/>
    <w:rsid w:val="00B14645"/>
    <w:rsid w:val="00B15167"/>
    <w:rsid w:val="00B15463"/>
    <w:rsid w:val="00B165E0"/>
    <w:rsid w:val="00B17819"/>
    <w:rsid w:val="00B17A76"/>
    <w:rsid w:val="00B25757"/>
    <w:rsid w:val="00B25FC1"/>
    <w:rsid w:val="00B271A4"/>
    <w:rsid w:val="00B3021D"/>
    <w:rsid w:val="00B414AC"/>
    <w:rsid w:val="00B41D30"/>
    <w:rsid w:val="00B42634"/>
    <w:rsid w:val="00B44470"/>
    <w:rsid w:val="00B46081"/>
    <w:rsid w:val="00B51DA0"/>
    <w:rsid w:val="00B51E38"/>
    <w:rsid w:val="00B52084"/>
    <w:rsid w:val="00B52E49"/>
    <w:rsid w:val="00B53C30"/>
    <w:rsid w:val="00B56144"/>
    <w:rsid w:val="00B61CF6"/>
    <w:rsid w:val="00B624D7"/>
    <w:rsid w:val="00B6782E"/>
    <w:rsid w:val="00B709E2"/>
    <w:rsid w:val="00B709FC"/>
    <w:rsid w:val="00B70F34"/>
    <w:rsid w:val="00B8067A"/>
    <w:rsid w:val="00B81B7C"/>
    <w:rsid w:val="00B85F99"/>
    <w:rsid w:val="00B867BA"/>
    <w:rsid w:val="00B9092C"/>
    <w:rsid w:val="00B92962"/>
    <w:rsid w:val="00B94728"/>
    <w:rsid w:val="00B96A90"/>
    <w:rsid w:val="00B96BDA"/>
    <w:rsid w:val="00BA49FB"/>
    <w:rsid w:val="00BA7713"/>
    <w:rsid w:val="00BB1A60"/>
    <w:rsid w:val="00BB257A"/>
    <w:rsid w:val="00BB44A5"/>
    <w:rsid w:val="00BB5DDA"/>
    <w:rsid w:val="00BB62C8"/>
    <w:rsid w:val="00BB6C0B"/>
    <w:rsid w:val="00BC40F0"/>
    <w:rsid w:val="00BD111A"/>
    <w:rsid w:val="00BD719C"/>
    <w:rsid w:val="00BE1197"/>
    <w:rsid w:val="00BE1BE1"/>
    <w:rsid w:val="00BE3135"/>
    <w:rsid w:val="00BE40CF"/>
    <w:rsid w:val="00BE4A0B"/>
    <w:rsid w:val="00BF0368"/>
    <w:rsid w:val="00BF1E29"/>
    <w:rsid w:val="00C05A9B"/>
    <w:rsid w:val="00C06766"/>
    <w:rsid w:val="00C06E6D"/>
    <w:rsid w:val="00C07719"/>
    <w:rsid w:val="00C119E0"/>
    <w:rsid w:val="00C13873"/>
    <w:rsid w:val="00C15019"/>
    <w:rsid w:val="00C22A00"/>
    <w:rsid w:val="00C306DB"/>
    <w:rsid w:val="00C3076E"/>
    <w:rsid w:val="00C35C96"/>
    <w:rsid w:val="00C35D5D"/>
    <w:rsid w:val="00C364D6"/>
    <w:rsid w:val="00C41AF1"/>
    <w:rsid w:val="00C42808"/>
    <w:rsid w:val="00C434B0"/>
    <w:rsid w:val="00C515BF"/>
    <w:rsid w:val="00C52A1F"/>
    <w:rsid w:val="00C567A3"/>
    <w:rsid w:val="00C57211"/>
    <w:rsid w:val="00C600D6"/>
    <w:rsid w:val="00C61290"/>
    <w:rsid w:val="00C63755"/>
    <w:rsid w:val="00C64A20"/>
    <w:rsid w:val="00C6666A"/>
    <w:rsid w:val="00C703EA"/>
    <w:rsid w:val="00C74384"/>
    <w:rsid w:val="00C7560F"/>
    <w:rsid w:val="00C76465"/>
    <w:rsid w:val="00C77B18"/>
    <w:rsid w:val="00C81BF7"/>
    <w:rsid w:val="00C82757"/>
    <w:rsid w:val="00C83FDD"/>
    <w:rsid w:val="00C85C36"/>
    <w:rsid w:val="00C85D8A"/>
    <w:rsid w:val="00C863D4"/>
    <w:rsid w:val="00C869AC"/>
    <w:rsid w:val="00CA0608"/>
    <w:rsid w:val="00CA0A54"/>
    <w:rsid w:val="00CB09CA"/>
    <w:rsid w:val="00CB0C69"/>
    <w:rsid w:val="00CB1D6E"/>
    <w:rsid w:val="00CB3256"/>
    <w:rsid w:val="00CC2894"/>
    <w:rsid w:val="00CC4038"/>
    <w:rsid w:val="00CC5805"/>
    <w:rsid w:val="00CD0F4A"/>
    <w:rsid w:val="00CE0139"/>
    <w:rsid w:val="00CE01D8"/>
    <w:rsid w:val="00CE2802"/>
    <w:rsid w:val="00CF076F"/>
    <w:rsid w:val="00CF15F8"/>
    <w:rsid w:val="00CF564F"/>
    <w:rsid w:val="00CF7C81"/>
    <w:rsid w:val="00D06B98"/>
    <w:rsid w:val="00D12BEA"/>
    <w:rsid w:val="00D1793C"/>
    <w:rsid w:val="00D2442B"/>
    <w:rsid w:val="00D24A20"/>
    <w:rsid w:val="00D27621"/>
    <w:rsid w:val="00D30E34"/>
    <w:rsid w:val="00D318F4"/>
    <w:rsid w:val="00D31DBB"/>
    <w:rsid w:val="00D3510F"/>
    <w:rsid w:val="00D36154"/>
    <w:rsid w:val="00D366B3"/>
    <w:rsid w:val="00D40ECB"/>
    <w:rsid w:val="00D4439A"/>
    <w:rsid w:val="00D46B4C"/>
    <w:rsid w:val="00D46B74"/>
    <w:rsid w:val="00D52159"/>
    <w:rsid w:val="00D52E85"/>
    <w:rsid w:val="00D548A9"/>
    <w:rsid w:val="00D55F96"/>
    <w:rsid w:val="00D63781"/>
    <w:rsid w:val="00D63970"/>
    <w:rsid w:val="00D672A9"/>
    <w:rsid w:val="00D67539"/>
    <w:rsid w:val="00D746B3"/>
    <w:rsid w:val="00D746FC"/>
    <w:rsid w:val="00D751EC"/>
    <w:rsid w:val="00D75B5B"/>
    <w:rsid w:val="00D76590"/>
    <w:rsid w:val="00D77EF0"/>
    <w:rsid w:val="00D80C7C"/>
    <w:rsid w:val="00D81063"/>
    <w:rsid w:val="00D86429"/>
    <w:rsid w:val="00D8759A"/>
    <w:rsid w:val="00D87648"/>
    <w:rsid w:val="00D9080F"/>
    <w:rsid w:val="00D908C3"/>
    <w:rsid w:val="00D9327A"/>
    <w:rsid w:val="00D93A23"/>
    <w:rsid w:val="00D949F7"/>
    <w:rsid w:val="00D970D5"/>
    <w:rsid w:val="00D97195"/>
    <w:rsid w:val="00D971B4"/>
    <w:rsid w:val="00DA0B8E"/>
    <w:rsid w:val="00DA4FA5"/>
    <w:rsid w:val="00DB337C"/>
    <w:rsid w:val="00DB4A98"/>
    <w:rsid w:val="00DB6188"/>
    <w:rsid w:val="00DB6874"/>
    <w:rsid w:val="00DB72F2"/>
    <w:rsid w:val="00DC2CC1"/>
    <w:rsid w:val="00DC7D38"/>
    <w:rsid w:val="00DD075B"/>
    <w:rsid w:val="00DD2032"/>
    <w:rsid w:val="00DD56FE"/>
    <w:rsid w:val="00DD667B"/>
    <w:rsid w:val="00DD6CC2"/>
    <w:rsid w:val="00DE332A"/>
    <w:rsid w:val="00DE3C7F"/>
    <w:rsid w:val="00DE536C"/>
    <w:rsid w:val="00DF3395"/>
    <w:rsid w:val="00DF3D10"/>
    <w:rsid w:val="00DF74F0"/>
    <w:rsid w:val="00E00E61"/>
    <w:rsid w:val="00E0315F"/>
    <w:rsid w:val="00E03A96"/>
    <w:rsid w:val="00E13F48"/>
    <w:rsid w:val="00E1422B"/>
    <w:rsid w:val="00E16A89"/>
    <w:rsid w:val="00E22462"/>
    <w:rsid w:val="00E23138"/>
    <w:rsid w:val="00E23549"/>
    <w:rsid w:val="00E25D51"/>
    <w:rsid w:val="00E26850"/>
    <w:rsid w:val="00E27409"/>
    <w:rsid w:val="00E2757E"/>
    <w:rsid w:val="00E30C9E"/>
    <w:rsid w:val="00E31164"/>
    <w:rsid w:val="00E32F8F"/>
    <w:rsid w:val="00E37026"/>
    <w:rsid w:val="00E41CA1"/>
    <w:rsid w:val="00E41EB6"/>
    <w:rsid w:val="00E42853"/>
    <w:rsid w:val="00E43BF9"/>
    <w:rsid w:val="00E46181"/>
    <w:rsid w:val="00E50120"/>
    <w:rsid w:val="00E533D5"/>
    <w:rsid w:val="00E55584"/>
    <w:rsid w:val="00E558F4"/>
    <w:rsid w:val="00E634E2"/>
    <w:rsid w:val="00E65E82"/>
    <w:rsid w:val="00E661C3"/>
    <w:rsid w:val="00E708A1"/>
    <w:rsid w:val="00E71BA9"/>
    <w:rsid w:val="00E71CE8"/>
    <w:rsid w:val="00E74AB7"/>
    <w:rsid w:val="00E771A2"/>
    <w:rsid w:val="00E80BAB"/>
    <w:rsid w:val="00E80D85"/>
    <w:rsid w:val="00E81A5D"/>
    <w:rsid w:val="00E839DE"/>
    <w:rsid w:val="00E86A5F"/>
    <w:rsid w:val="00E873C2"/>
    <w:rsid w:val="00E91B7F"/>
    <w:rsid w:val="00EA03C9"/>
    <w:rsid w:val="00EA1878"/>
    <w:rsid w:val="00EA1A64"/>
    <w:rsid w:val="00EA1E74"/>
    <w:rsid w:val="00EA3766"/>
    <w:rsid w:val="00EA3C4D"/>
    <w:rsid w:val="00EA4BC3"/>
    <w:rsid w:val="00EA5E4D"/>
    <w:rsid w:val="00EA7745"/>
    <w:rsid w:val="00EB21BF"/>
    <w:rsid w:val="00EB25B2"/>
    <w:rsid w:val="00EB2665"/>
    <w:rsid w:val="00EB6214"/>
    <w:rsid w:val="00EB79FB"/>
    <w:rsid w:val="00EC1554"/>
    <w:rsid w:val="00EC2025"/>
    <w:rsid w:val="00EC2E43"/>
    <w:rsid w:val="00EC3566"/>
    <w:rsid w:val="00EC3CC3"/>
    <w:rsid w:val="00EC5B08"/>
    <w:rsid w:val="00EC623C"/>
    <w:rsid w:val="00EC7B7A"/>
    <w:rsid w:val="00EC7B9C"/>
    <w:rsid w:val="00ED2A40"/>
    <w:rsid w:val="00ED3294"/>
    <w:rsid w:val="00ED56EF"/>
    <w:rsid w:val="00ED6A00"/>
    <w:rsid w:val="00EE115B"/>
    <w:rsid w:val="00EE1C5A"/>
    <w:rsid w:val="00EE1FB1"/>
    <w:rsid w:val="00EE2607"/>
    <w:rsid w:val="00EE413D"/>
    <w:rsid w:val="00EE5778"/>
    <w:rsid w:val="00EE6CC3"/>
    <w:rsid w:val="00EE78E1"/>
    <w:rsid w:val="00EF09A3"/>
    <w:rsid w:val="00EF11F9"/>
    <w:rsid w:val="00F00C18"/>
    <w:rsid w:val="00F012AE"/>
    <w:rsid w:val="00F03A19"/>
    <w:rsid w:val="00F04DC6"/>
    <w:rsid w:val="00F079BE"/>
    <w:rsid w:val="00F07D0D"/>
    <w:rsid w:val="00F104D7"/>
    <w:rsid w:val="00F13B0F"/>
    <w:rsid w:val="00F211C6"/>
    <w:rsid w:val="00F25922"/>
    <w:rsid w:val="00F2686A"/>
    <w:rsid w:val="00F277B2"/>
    <w:rsid w:val="00F37E69"/>
    <w:rsid w:val="00F408D6"/>
    <w:rsid w:val="00F44AB5"/>
    <w:rsid w:val="00F50C7B"/>
    <w:rsid w:val="00F523E5"/>
    <w:rsid w:val="00F54182"/>
    <w:rsid w:val="00F55095"/>
    <w:rsid w:val="00F55939"/>
    <w:rsid w:val="00F601D0"/>
    <w:rsid w:val="00F65E1A"/>
    <w:rsid w:val="00F702EB"/>
    <w:rsid w:val="00F71C18"/>
    <w:rsid w:val="00F71E19"/>
    <w:rsid w:val="00F72127"/>
    <w:rsid w:val="00F74217"/>
    <w:rsid w:val="00F74C73"/>
    <w:rsid w:val="00F74D3C"/>
    <w:rsid w:val="00F75283"/>
    <w:rsid w:val="00F753CF"/>
    <w:rsid w:val="00F76F11"/>
    <w:rsid w:val="00F8064C"/>
    <w:rsid w:val="00F82E0A"/>
    <w:rsid w:val="00F8579E"/>
    <w:rsid w:val="00F859D5"/>
    <w:rsid w:val="00F90260"/>
    <w:rsid w:val="00F91188"/>
    <w:rsid w:val="00F96274"/>
    <w:rsid w:val="00FB012D"/>
    <w:rsid w:val="00FB1075"/>
    <w:rsid w:val="00FB326A"/>
    <w:rsid w:val="00FB6CB9"/>
    <w:rsid w:val="00FC03D4"/>
    <w:rsid w:val="00FC08C3"/>
    <w:rsid w:val="00FC1C9C"/>
    <w:rsid w:val="00FD1922"/>
    <w:rsid w:val="00FD1A1E"/>
    <w:rsid w:val="00FE754C"/>
    <w:rsid w:val="00FF6A3B"/>
    <w:rsid w:val="043A3F7F"/>
    <w:rsid w:val="082038E6"/>
    <w:rsid w:val="0B6013F2"/>
    <w:rsid w:val="0E5C209B"/>
    <w:rsid w:val="0E937FF7"/>
    <w:rsid w:val="10196EF9"/>
    <w:rsid w:val="11E164E5"/>
    <w:rsid w:val="11F32620"/>
    <w:rsid w:val="13A85E50"/>
    <w:rsid w:val="164A2BA1"/>
    <w:rsid w:val="18D57CCC"/>
    <w:rsid w:val="19E47E89"/>
    <w:rsid w:val="1B0A43E8"/>
    <w:rsid w:val="1BF52E6D"/>
    <w:rsid w:val="1C2C6E7C"/>
    <w:rsid w:val="22750198"/>
    <w:rsid w:val="257B570D"/>
    <w:rsid w:val="262E6503"/>
    <w:rsid w:val="287A4275"/>
    <w:rsid w:val="2B573438"/>
    <w:rsid w:val="30110AE9"/>
    <w:rsid w:val="34DC77C8"/>
    <w:rsid w:val="36A46DB4"/>
    <w:rsid w:val="3730221B"/>
    <w:rsid w:val="3ACE72C7"/>
    <w:rsid w:val="3CB2519A"/>
    <w:rsid w:val="3E5B60DB"/>
    <w:rsid w:val="3F0D13E8"/>
    <w:rsid w:val="481C0CDA"/>
    <w:rsid w:val="492B471A"/>
    <w:rsid w:val="508C2CB2"/>
    <w:rsid w:val="525E4232"/>
    <w:rsid w:val="54D413B8"/>
    <w:rsid w:val="5A9802AF"/>
    <w:rsid w:val="5D543802"/>
    <w:rsid w:val="5DA7363B"/>
    <w:rsid w:val="5DFF7CEE"/>
    <w:rsid w:val="5F6706D0"/>
    <w:rsid w:val="637F0FCD"/>
    <w:rsid w:val="66007D67"/>
    <w:rsid w:val="67B412FE"/>
    <w:rsid w:val="68D77510"/>
    <w:rsid w:val="760630B0"/>
    <w:rsid w:val="7D260BDE"/>
    <w:rsid w:val="7E677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Document Map"/>
    <w:basedOn w:val="1"/>
    <w:link w:val="15"/>
    <w:qFormat/>
    <w:uiPriority w:val="0"/>
    <w:rPr>
      <w:rFonts w:ascii="宋体"/>
      <w:sz w:val="18"/>
      <w:szCs w:val="18"/>
    </w:rPr>
  </w:style>
  <w:style w:type="paragraph" w:styleId="3">
    <w:name w:val="annotation text"/>
    <w:basedOn w:val="1"/>
    <w:link w:val="32"/>
    <w:uiPriority w:val="0"/>
    <w:pPr>
      <w:jc w:val="left"/>
    </w:pPr>
  </w:style>
  <w:style w:type="paragraph" w:styleId="4">
    <w:name w:val="Body Text Indent 2"/>
    <w:basedOn w:val="1"/>
    <w:link w:val="16"/>
    <w:uiPriority w:val="0"/>
    <w:pPr>
      <w:ind w:firstLine="640" w:firstLineChars="200"/>
    </w:pPr>
    <w:rPr>
      <w:rFonts w:ascii="楷体_GB2312" w:hAnsi="Courier New" w:eastAsia="楷体_GB2312"/>
      <w:sz w:val="32"/>
      <w:szCs w:val="20"/>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7"/>
    <w:qFormat/>
    <w:uiPriority w:val="11"/>
    <w:pPr>
      <w:spacing w:before="240" w:after="60" w:line="312" w:lineRule="auto"/>
      <w:jc w:val="center"/>
      <w:outlineLvl w:val="1"/>
    </w:pPr>
    <w:rPr>
      <w:rFonts w:ascii="Cambria" w:hAnsi="Cambria"/>
      <w:b/>
      <w:bCs/>
      <w:kern w:val="28"/>
      <w:sz w:val="32"/>
      <w:szCs w:val="32"/>
    </w:rPr>
  </w:style>
  <w:style w:type="paragraph" w:styleId="9">
    <w:name w:val="Title"/>
    <w:basedOn w:val="1"/>
    <w:next w:val="1"/>
    <w:link w:val="18"/>
    <w:qFormat/>
    <w:uiPriority w:val="0"/>
    <w:pPr>
      <w:spacing w:before="240" w:after="60"/>
      <w:jc w:val="center"/>
      <w:outlineLvl w:val="0"/>
    </w:pPr>
    <w:rPr>
      <w:rFonts w:ascii="Cambria" w:hAnsi="Cambria"/>
      <w:b/>
      <w:bCs/>
      <w:sz w:val="32"/>
      <w:szCs w:val="32"/>
    </w:rPr>
  </w:style>
  <w:style w:type="paragraph" w:styleId="10">
    <w:name w:val="annotation subject"/>
    <w:basedOn w:val="3"/>
    <w:next w:val="3"/>
    <w:link w:val="33"/>
    <w:uiPriority w:val="0"/>
    <w:rPr>
      <w:b/>
      <w:bCs/>
    </w:rPr>
  </w:style>
  <w:style w:type="character" w:styleId="13">
    <w:name w:val="page number"/>
    <w:uiPriority w:val="0"/>
  </w:style>
  <w:style w:type="character" w:styleId="14">
    <w:name w:val="annotation reference"/>
    <w:uiPriority w:val="0"/>
    <w:rPr>
      <w:sz w:val="21"/>
      <w:szCs w:val="21"/>
    </w:rPr>
  </w:style>
  <w:style w:type="character" w:customStyle="1" w:styleId="15">
    <w:name w:val="文档结构图 字符"/>
    <w:link w:val="2"/>
    <w:uiPriority w:val="0"/>
    <w:rPr>
      <w:rFonts w:ascii="宋体"/>
      <w:kern w:val="2"/>
      <w:sz w:val="18"/>
      <w:szCs w:val="18"/>
    </w:rPr>
  </w:style>
  <w:style w:type="character" w:customStyle="1" w:styleId="16">
    <w:name w:val="正文文本缩进 2 字符"/>
    <w:link w:val="4"/>
    <w:qFormat/>
    <w:uiPriority w:val="0"/>
    <w:rPr>
      <w:rFonts w:ascii="楷体_GB2312" w:hAnsi="Courier New" w:eastAsia="楷体_GB2312"/>
      <w:kern w:val="2"/>
      <w:sz w:val="32"/>
    </w:rPr>
  </w:style>
  <w:style w:type="character" w:customStyle="1" w:styleId="17">
    <w:name w:val="副标题 字符"/>
    <w:link w:val="8"/>
    <w:uiPriority w:val="11"/>
    <w:rPr>
      <w:rFonts w:ascii="Cambria" w:hAnsi="Cambria"/>
      <w:b/>
      <w:bCs/>
      <w:kern w:val="28"/>
      <w:sz w:val="32"/>
      <w:szCs w:val="32"/>
    </w:rPr>
  </w:style>
  <w:style w:type="character" w:customStyle="1" w:styleId="18">
    <w:name w:val="标题 字符"/>
    <w:link w:val="9"/>
    <w:qFormat/>
    <w:uiPriority w:val="0"/>
    <w:rPr>
      <w:rFonts w:ascii="Cambria" w:hAnsi="Cambria"/>
      <w:b/>
      <w:bCs/>
      <w:kern w:val="2"/>
      <w:sz w:val="32"/>
      <w:szCs w:val="32"/>
    </w:rPr>
  </w:style>
  <w:style w:type="paragraph" w:customStyle="1" w:styleId="19">
    <w:name w:val=" Char"/>
    <w:basedOn w:val="1"/>
    <w:qFormat/>
    <w:uiPriority w:val="0"/>
    <w:rPr>
      <w:rFonts w:ascii="Tahoma" w:hAnsi="Tahoma"/>
      <w:sz w:val="24"/>
      <w:szCs w:val="20"/>
    </w:rPr>
  </w:style>
  <w:style w:type="paragraph" w:customStyle="1" w:styleId="20">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Verdana" w:hAnsi="Verdana" w:eastAsia="仿宋_GB2312"/>
      <w:kern w:val="0"/>
      <w:sz w:val="28"/>
      <w:szCs w:val="28"/>
      <w:lang w:eastAsia="en-US"/>
    </w:rPr>
  </w:style>
  <w:style w:type="paragraph" w:customStyle="1" w:styleId="21">
    <w:name w:val=" Char Char Char Char Char Char Char Char Char Char Char Char Char Char Char Char"/>
    <w:basedOn w:val="1"/>
    <w:uiPriority w:val="0"/>
    <w:pPr>
      <w:tabs>
        <w:tab w:val="left" w:pos="360"/>
      </w:tabs>
    </w:pPr>
    <w:rPr>
      <w:sz w:val="24"/>
    </w:rPr>
  </w:style>
  <w:style w:type="character" w:customStyle="1" w:styleId="22">
    <w:name w:val="样式 仿宋 三号 Char"/>
    <w:uiPriority w:val="0"/>
    <w:rPr>
      <w:rFonts w:ascii="仿宋" w:hAnsi="仿宋" w:eastAsia="仿宋" w:cs="宋体"/>
      <w:kern w:val="2"/>
      <w:sz w:val="32"/>
      <w:lang w:val="en-US" w:eastAsia="zh-CN" w:bidi="ar-SA"/>
    </w:rPr>
  </w:style>
  <w:style w:type="character" w:customStyle="1" w:styleId="23">
    <w:name w:val="p0{858D7CFB-ED40-4347-BF05-701D383B685F}"/>
    <w:link w:val="24"/>
    <w:uiPriority w:val="0"/>
    <w:rPr>
      <w:szCs w:val="21"/>
    </w:rPr>
  </w:style>
  <w:style w:type="paragraph" w:customStyle="1" w:styleId="24">
    <w:name w:val="p0"/>
    <w:basedOn w:val="1"/>
    <w:link w:val="23"/>
    <w:uiPriority w:val="0"/>
    <w:pPr>
      <w:widowControl/>
    </w:pPr>
    <w:rPr>
      <w:kern w:val="0"/>
      <w:sz w:val="20"/>
      <w:szCs w:val="21"/>
    </w:rPr>
  </w:style>
  <w:style w:type="character" w:customStyle="1" w:styleId="25">
    <w:name w:val="page number"/>
    <w:uiPriority w:val="0"/>
  </w:style>
  <w:style w:type="character" w:customStyle="1" w:styleId="26">
    <w:name w:val="正文文本缩进 2 Char1"/>
    <w:uiPriority w:val="0"/>
    <w:rPr>
      <w:kern w:val="2"/>
      <w:sz w:val="21"/>
      <w:szCs w:val="24"/>
    </w:rPr>
  </w:style>
  <w:style w:type="character" w:customStyle="1" w:styleId="27">
    <w:name w:val="文档结构图 Char1"/>
    <w:uiPriority w:val="0"/>
    <w:rPr>
      <w:rFonts w:ascii="Microsoft YaHei UI" w:eastAsia="Microsoft YaHei UI"/>
      <w:kern w:val="2"/>
      <w:sz w:val="18"/>
      <w:szCs w:val="18"/>
    </w:rPr>
  </w:style>
  <w:style w:type="character" w:customStyle="1" w:styleId="28">
    <w:name w:val="标题 Char1"/>
    <w:uiPriority w:val="0"/>
    <w:rPr>
      <w:rFonts w:ascii="Calibri Light" w:hAnsi="Calibri Light" w:cs="Times New Roman"/>
      <w:b/>
      <w:bCs/>
      <w:kern w:val="2"/>
      <w:sz w:val="32"/>
      <w:szCs w:val="32"/>
    </w:rPr>
  </w:style>
  <w:style w:type="character" w:customStyle="1" w:styleId="29">
    <w:name w:val="副标题 Char1"/>
    <w:uiPriority w:val="0"/>
    <w:rPr>
      <w:rFonts w:ascii="Calibri Light" w:hAnsi="Calibri Light" w:cs="Times New Roman"/>
      <w:b/>
      <w:bCs/>
      <w:kern w:val="28"/>
      <w:sz w:val="32"/>
      <w:szCs w:val="32"/>
    </w:rPr>
  </w:style>
  <w:style w:type="paragraph" w:customStyle="1" w:styleId="30">
    <w:name w:val="p17"/>
    <w:basedOn w:val="1"/>
    <w:uiPriority w:val="0"/>
    <w:pPr>
      <w:widowControl/>
    </w:pPr>
    <w:rPr>
      <w:rFonts w:ascii="宋体" w:hAnsi="宋体" w:cs="宋体"/>
      <w:kern w:val="0"/>
      <w:sz w:val="32"/>
      <w:szCs w:val="21"/>
    </w:rPr>
  </w:style>
  <w:style w:type="paragraph" w:customStyle="1" w:styleId="31">
    <w:name w:val=" Char Char Char Char"/>
    <w:basedOn w:val="1"/>
    <w:uiPriority w:val="0"/>
    <w:rPr>
      <w:sz w:val="32"/>
    </w:rPr>
  </w:style>
  <w:style w:type="character" w:customStyle="1" w:styleId="32">
    <w:name w:val="批注文字 字符"/>
    <w:link w:val="3"/>
    <w:uiPriority w:val="0"/>
    <w:rPr>
      <w:kern w:val="2"/>
      <w:sz w:val="21"/>
      <w:szCs w:val="24"/>
    </w:rPr>
  </w:style>
  <w:style w:type="character" w:customStyle="1" w:styleId="33">
    <w:name w:val="批注主题 字符"/>
    <w:link w:val="10"/>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047B9-9366-4ADF-858A-593A588335FD}">
  <ds:schemaRefs/>
</ds:datastoreItem>
</file>

<file path=docProps/app.xml><?xml version="1.0" encoding="utf-8"?>
<Properties xmlns="http://schemas.openxmlformats.org/officeDocument/2006/extended-properties" xmlns:vt="http://schemas.openxmlformats.org/officeDocument/2006/docPropsVTypes">
  <Template>Normal</Template>
  <Pages>25</Pages>
  <Words>1660</Words>
  <Characters>9467</Characters>
  <Lines>78</Lines>
  <Paragraphs>22</Paragraphs>
  <TotalTime>0</TotalTime>
  <ScaleCrop>false</ScaleCrop>
  <LinksUpToDate>false</LinksUpToDate>
  <CharactersWithSpaces>11105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2021-09-21T12:16:00Z</dcterms:created>
  <dc:creator>Administrator</dc:creator>
  <cp:lastModifiedBy>老庄</cp:lastModifiedBy>
  <cp:lastPrinted>2018-09-05T06:09:00Z</cp:lastPrinted>
  <dcterms:modified xsi:type="dcterms:W3CDTF">2021-09-28T04:01:08Z</dcterms:modified>
  <dc:title>内部资料，请勿外传（公开时请删除）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E8F3CE24D88640C6B3B2EA71035FDB4E</vt:lpwstr>
  </property>
</Properties>
</file>